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80" w:after="320"/>
        <w:jc w:val="center"/>
      </w:pPr>
      <w:r>
        <w:rPr>
          <w:rFonts w:ascii="Calibri" w:hAnsi="Calibri"/>
          <w:b/>
          <w:color w:val="2E74B5"/>
          <w:sz w:val="20"/>
        </w:rPr>
        <w:t>EDITABLE POLICY TEMPLATE</w:t>
      </w:r>
    </w:p>
    <w:p>
      <w:pPr>
        <w:pStyle w:val="Title"/>
        <w:jc w:val="center"/>
      </w:pPr>
      <w:r>
        <w:t>Nonprofit AI Policy Template</w:t>
      </w:r>
    </w:p>
    <w:p>
      <w:pPr>
        <w:pStyle w:val="Subtitle"/>
        <w:jc w:val="center"/>
      </w:pPr>
      <w:r>
        <w:t>A practical starting point for responsible AI use, human review, constituent trust, data protection, and accountable fundraising</w:t>
      </w:r>
    </w:p>
    <w:p>
      <w:pPr>
        <w:spacing w:after="360" w:line="300" w:lineRule="auto"/>
        <w:jc w:val="center"/>
      </w:pPr>
      <w:r>
        <w:rPr>
          <w:rFonts w:ascii="Calibri" w:hAnsi="Calibri"/>
          <w:color w:val="0B2545"/>
          <w:sz w:val="22"/>
        </w:rPr>
        <w:t>Replace the bracketed fields, remove sections that do not fit, and align the final policy with your programs, contracts, data practices, risk tolerance, and applicable law.</w:t>
      </w:r>
    </w:p>
    <w:tbl>
      <w:tblPr>
        <w:tblStyle w:val="TableGrid"/>
        <w:tblW w:type="dxa" w:w="9360"/>
        <w:jc w:val="left"/>
        <w:tblLayout w:type="fixed"/>
        <w:tblLook w:firstColumn="1" w:firstRow="1" w:lastColumn="0" w:lastRow="0" w:noHBand="0" w:noVBand="1" w:val="04A0"/>
        <w:tblInd w:w="120" w:type="dxa"/>
      </w:tblPr>
      <w:tblGrid>
        <w:gridCol w:w="2700"/>
        <w:gridCol w:w="6660"/>
      </w:tblGrid>
      <w:tr>
        <w:trPr>
          <w:tblHeader w:val="true"/>
        </w:trPr>
        <w:tc>
          <w:tcPr>
            <w:tcW w:type="dxa" w:w="2700"/>
            <w:shd w:fill="0B2545"/>
            <w:vAlign w:val="center"/>
            <w:tcMar>
              <w:top w:w="80" w:type="dxa"/>
              <w:bottom w:w="80" w:type="dxa"/>
              <w:start w:w="120" w:type="dxa"/>
              <w:end w:w="120" w:type="dxa"/>
            </w:tcMar>
          </w:tcPr>
          <w:p>
            <w:pPr>
              <w:spacing w:before="0" w:after="40" w:line="259" w:lineRule="auto"/>
            </w:pPr>
            <w:r>
              <w:rPr>
                <w:rFonts w:ascii="Calibri" w:hAnsi="Calibri"/>
                <w:b/>
                <w:color w:val="FFFFFF"/>
                <w:sz w:val="18"/>
              </w:rPr>
              <w:t>Policy field</w:t>
            </w:r>
          </w:p>
        </w:tc>
        <w:tc>
          <w:tcPr>
            <w:tcW w:type="dxa" w:w="6660"/>
            <w:shd w:fill="0B2545"/>
            <w:vAlign w:val="center"/>
            <w:tcMar>
              <w:top w:w="80" w:type="dxa"/>
              <w:bottom w:w="80" w:type="dxa"/>
              <w:start w:w="120" w:type="dxa"/>
              <w:end w:w="120" w:type="dxa"/>
            </w:tcMar>
          </w:tcPr>
          <w:p>
            <w:pPr>
              <w:spacing w:before="0" w:after="40" w:line="259" w:lineRule="auto"/>
            </w:pPr>
            <w:r>
              <w:rPr>
                <w:rFonts w:ascii="Calibri" w:hAnsi="Calibri"/>
                <w:b/>
                <w:color w:val="FFFFFF"/>
                <w:sz w:val="18"/>
              </w:rPr>
              <w:t>Your organization</w:t>
            </w:r>
          </w:p>
        </w:tc>
      </w:tr>
      <w:tr>
        <w:trPr>
          <w:cantSplit/>
        </w:trPr>
        <w:tc>
          <w:tcPr>
            <w:tcW w:type="dxa" w:w="2700"/>
            <w:shd w:fill="F2F4F7"/>
            <w:vAlign w:val="center"/>
            <w:tcMar>
              <w:top w:w="80" w:type="dxa"/>
              <w:bottom w:w="80" w:type="dxa"/>
              <w:start w:w="120" w:type="dxa"/>
              <w:end w:w="120" w:type="dxa"/>
            </w:tcMar>
          </w:tcPr>
          <w:p>
            <w:pPr>
              <w:spacing w:before="0" w:after="40" w:line="259" w:lineRule="auto"/>
            </w:pPr>
            <w:r>
              <w:rPr>
                <w:rFonts w:ascii="Calibri" w:hAnsi="Calibri"/>
                <w:b/>
                <w:color w:val="0B2545"/>
                <w:sz w:val="19"/>
              </w:rPr>
              <w:t>Organization</w:t>
            </w:r>
          </w:p>
        </w:tc>
        <w:tc>
          <w:tcPr>
            <w:tcW w:type="dxa" w:w="6660"/>
            <w:vAlign w:val="center"/>
            <w:tcMar>
              <w:top w:w="80" w:type="dxa"/>
              <w:bottom w:w="80" w:type="dxa"/>
              <w:start w:w="120" w:type="dxa"/>
              <w:end w:w="120" w:type="dxa"/>
            </w:tcMar>
          </w:tcPr>
          <w:p>
            <w:pPr>
              <w:spacing w:before="0" w:after="40" w:line="259" w:lineRule="auto"/>
            </w:pPr>
            <w:r>
              <w:rPr>
                <w:rFonts w:ascii="Calibri" w:hAnsi="Calibri"/>
                <w:b w:val="0"/>
                <w:color w:val="0B2545"/>
                <w:sz w:val="19"/>
              </w:rPr>
              <w:t>[Organization name]</w:t>
            </w:r>
          </w:p>
        </w:tc>
      </w:tr>
      <w:tr>
        <w:trPr>
          <w:cantSplit/>
        </w:trPr>
        <w:tc>
          <w:tcPr>
            <w:tcW w:type="dxa" w:w="2700"/>
            <w:shd w:fill="F2F4F7"/>
            <w:vAlign w:val="center"/>
            <w:tcMar>
              <w:top w:w="80" w:type="dxa"/>
              <w:bottom w:w="80" w:type="dxa"/>
              <w:start w:w="120" w:type="dxa"/>
              <w:end w:w="120" w:type="dxa"/>
            </w:tcMar>
          </w:tcPr>
          <w:p>
            <w:pPr>
              <w:spacing w:before="0" w:after="40" w:line="259" w:lineRule="auto"/>
            </w:pPr>
            <w:r>
              <w:rPr>
                <w:rFonts w:ascii="Calibri" w:hAnsi="Calibri"/>
                <w:b/>
                <w:color w:val="0B2545"/>
                <w:sz w:val="19"/>
              </w:rPr>
              <w:t>Policy owner</w:t>
            </w:r>
          </w:p>
        </w:tc>
        <w:tc>
          <w:tcPr>
            <w:tcW w:type="dxa" w:w="6660"/>
            <w:vAlign w:val="center"/>
            <w:tcMar>
              <w:top w:w="80" w:type="dxa"/>
              <w:bottom w:w="80" w:type="dxa"/>
              <w:start w:w="120" w:type="dxa"/>
              <w:end w:w="120" w:type="dxa"/>
            </w:tcMar>
          </w:tcPr>
          <w:p>
            <w:pPr>
              <w:spacing w:before="0" w:after="40" w:line="259" w:lineRule="auto"/>
            </w:pPr>
            <w:r>
              <w:rPr>
                <w:rFonts w:ascii="Calibri" w:hAnsi="Calibri"/>
                <w:b w:val="0"/>
                <w:color w:val="0B2545"/>
                <w:sz w:val="19"/>
              </w:rPr>
              <w:t>[Role or name]</w:t>
            </w:r>
          </w:p>
        </w:tc>
      </w:tr>
      <w:tr>
        <w:trPr>
          <w:cantSplit/>
        </w:trPr>
        <w:tc>
          <w:tcPr>
            <w:tcW w:type="dxa" w:w="2700"/>
            <w:shd w:fill="F2F4F7"/>
            <w:vAlign w:val="center"/>
            <w:tcMar>
              <w:top w:w="80" w:type="dxa"/>
              <w:bottom w:w="80" w:type="dxa"/>
              <w:start w:w="120" w:type="dxa"/>
              <w:end w:w="120" w:type="dxa"/>
            </w:tcMar>
          </w:tcPr>
          <w:p>
            <w:pPr>
              <w:spacing w:before="0" w:after="40" w:line="259" w:lineRule="auto"/>
            </w:pPr>
            <w:r>
              <w:rPr>
                <w:rFonts w:ascii="Calibri" w:hAnsi="Calibri"/>
                <w:b/>
                <w:color w:val="0B2545"/>
                <w:sz w:val="19"/>
              </w:rPr>
              <w:t>Executive sponsor</w:t>
            </w:r>
          </w:p>
        </w:tc>
        <w:tc>
          <w:tcPr>
            <w:tcW w:type="dxa" w:w="6660"/>
            <w:vAlign w:val="center"/>
            <w:tcMar>
              <w:top w:w="80" w:type="dxa"/>
              <w:bottom w:w="80" w:type="dxa"/>
              <w:start w:w="120" w:type="dxa"/>
              <w:end w:w="120" w:type="dxa"/>
            </w:tcMar>
          </w:tcPr>
          <w:p>
            <w:pPr>
              <w:spacing w:before="0" w:after="40" w:line="259" w:lineRule="auto"/>
            </w:pPr>
            <w:r>
              <w:rPr>
                <w:rFonts w:ascii="Calibri" w:hAnsi="Calibri"/>
                <w:b w:val="0"/>
                <w:color w:val="0B2545"/>
                <w:sz w:val="19"/>
              </w:rPr>
              <w:t>[Role or name]</w:t>
            </w:r>
          </w:p>
        </w:tc>
      </w:tr>
      <w:tr>
        <w:trPr>
          <w:cantSplit/>
        </w:trPr>
        <w:tc>
          <w:tcPr>
            <w:tcW w:type="dxa" w:w="2700"/>
            <w:shd w:fill="F2F4F7"/>
            <w:vAlign w:val="center"/>
            <w:tcMar>
              <w:top w:w="80" w:type="dxa"/>
              <w:bottom w:w="80" w:type="dxa"/>
              <w:start w:w="120" w:type="dxa"/>
              <w:end w:w="120" w:type="dxa"/>
            </w:tcMar>
          </w:tcPr>
          <w:p>
            <w:pPr>
              <w:spacing w:before="0" w:after="40" w:line="259" w:lineRule="auto"/>
            </w:pPr>
            <w:r>
              <w:rPr>
                <w:rFonts w:ascii="Calibri" w:hAnsi="Calibri"/>
                <w:b/>
                <w:color w:val="0B2545"/>
                <w:sz w:val="19"/>
              </w:rPr>
              <w:t>Effective date</w:t>
            </w:r>
          </w:p>
        </w:tc>
        <w:tc>
          <w:tcPr>
            <w:tcW w:type="dxa" w:w="6660"/>
            <w:vAlign w:val="center"/>
            <w:tcMar>
              <w:top w:w="80" w:type="dxa"/>
              <w:bottom w:w="80" w:type="dxa"/>
              <w:start w:w="120" w:type="dxa"/>
              <w:end w:w="120" w:type="dxa"/>
            </w:tcMar>
          </w:tcPr>
          <w:p>
            <w:pPr>
              <w:spacing w:before="0" w:after="40" w:line="259" w:lineRule="auto"/>
            </w:pPr>
            <w:r>
              <w:rPr>
                <w:rFonts w:ascii="Calibri" w:hAnsi="Calibri"/>
                <w:b w:val="0"/>
                <w:color w:val="0B2545"/>
                <w:sz w:val="19"/>
              </w:rPr>
              <w:t>[Month day, year]</w:t>
            </w:r>
          </w:p>
        </w:tc>
      </w:tr>
      <w:tr>
        <w:trPr>
          <w:cantSplit/>
        </w:trPr>
        <w:tc>
          <w:tcPr>
            <w:tcW w:type="dxa" w:w="2700"/>
            <w:shd w:fill="F2F4F7"/>
            <w:vAlign w:val="center"/>
            <w:tcMar>
              <w:top w:w="80" w:type="dxa"/>
              <w:bottom w:w="80" w:type="dxa"/>
              <w:start w:w="120" w:type="dxa"/>
              <w:end w:w="120" w:type="dxa"/>
            </w:tcMar>
          </w:tcPr>
          <w:p>
            <w:pPr>
              <w:spacing w:before="0" w:after="40" w:line="259" w:lineRule="auto"/>
            </w:pPr>
            <w:r>
              <w:rPr>
                <w:rFonts w:ascii="Calibri" w:hAnsi="Calibri"/>
                <w:b/>
                <w:color w:val="0B2545"/>
                <w:sz w:val="19"/>
              </w:rPr>
              <w:t>Next review</w:t>
            </w:r>
          </w:p>
        </w:tc>
        <w:tc>
          <w:tcPr>
            <w:tcW w:type="dxa" w:w="6660"/>
            <w:vAlign w:val="center"/>
            <w:tcMar>
              <w:top w:w="80" w:type="dxa"/>
              <w:bottom w:w="80" w:type="dxa"/>
              <w:start w:w="120" w:type="dxa"/>
              <w:end w:w="120" w:type="dxa"/>
            </w:tcMar>
          </w:tcPr>
          <w:p>
            <w:pPr>
              <w:spacing w:before="0" w:after="40" w:line="259" w:lineRule="auto"/>
            </w:pPr>
            <w:r>
              <w:rPr>
                <w:rFonts w:ascii="Calibri" w:hAnsi="Calibri"/>
                <w:b w:val="0"/>
                <w:color w:val="0B2545"/>
                <w:sz w:val="19"/>
              </w:rPr>
              <w:t>[Month day, year]</w:t>
            </w:r>
          </w:p>
        </w:tc>
      </w:tr>
      <w:tr>
        <w:trPr>
          <w:cantSplit/>
        </w:trPr>
        <w:tc>
          <w:tcPr>
            <w:tcW w:type="dxa" w:w="2700"/>
            <w:shd w:fill="F2F4F7"/>
            <w:vAlign w:val="center"/>
            <w:tcMar>
              <w:top w:w="80" w:type="dxa"/>
              <w:bottom w:w="80" w:type="dxa"/>
              <w:start w:w="120" w:type="dxa"/>
              <w:end w:w="120" w:type="dxa"/>
            </w:tcMar>
          </w:tcPr>
          <w:p>
            <w:pPr>
              <w:spacing w:before="0" w:after="40" w:line="259" w:lineRule="auto"/>
            </w:pPr>
            <w:r>
              <w:rPr>
                <w:rFonts w:ascii="Calibri" w:hAnsi="Calibri"/>
                <w:b/>
                <w:color w:val="0B2545"/>
                <w:sz w:val="19"/>
              </w:rPr>
              <w:t>Approved by</w:t>
            </w:r>
          </w:p>
        </w:tc>
        <w:tc>
          <w:tcPr>
            <w:tcW w:type="dxa" w:w="6660"/>
            <w:vAlign w:val="center"/>
            <w:tcMar>
              <w:top w:w="80" w:type="dxa"/>
              <w:bottom w:w="80" w:type="dxa"/>
              <w:start w:w="120" w:type="dxa"/>
              <w:end w:w="120" w:type="dxa"/>
            </w:tcMar>
          </w:tcPr>
          <w:p>
            <w:pPr>
              <w:spacing w:before="0" w:after="40" w:line="259" w:lineRule="auto"/>
            </w:pPr>
            <w:r>
              <w:rPr>
                <w:rFonts w:ascii="Calibri" w:hAnsi="Calibri"/>
                <w:b w:val="0"/>
                <w:color w:val="0B2545"/>
                <w:sz w:val="19"/>
              </w:rPr>
              <w:t>[Board, committee, or executive role]</w:t>
            </w:r>
          </w:p>
        </w:tc>
      </w:tr>
    </w:tbl>
    <w:p>
      <w:pPr>
        <w:spacing w:after="0"/>
      </w:pPr>
    </w:p>
    <w:p>
      <w:pPr>
        <w:pStyle w:val="PolicyCallout"/>
        <w:shd w:fill="FFF8E1"/>
        <w:pBdr>
          <w:left w:val="single" w:sz="18" w:space="8" w:color="7A5A00"/>
        </w:pBdr>
      </w:pPr>
      <w:r>
        <w:rPr>
          <w:rFonts w:ascii="Calibri" w:hAnsi="Calibri"/>
          <w:b/>
          <w:color w:val="7A5A00"/>
          <w:sz w:val="21"/>
        </w:rPr>
        <w:t xml:space="preserve">Important: </w:t>
      </w:r>
      <w:r>
        <w:rPr>
          <w:rFonts w:ascii="Calibri" w:hAnsi="Calibri"/>
          <w:color w:val="0B2545"/>
          <w:sz w:val="21"/>
        </w:rPr>
        <w:t>This template is educational and is not legal, privacy, security, employment, safeguarding, or fundraising-ethics advice. Your organization is responsible for its final policy and decisions.</w:t>
      </w:r>
    </w:p>
    <w:p>
      <w:r>
        <w:br w:type="page"/>
      </w:r>
    </w:p>
    <w:p>
      <w:pPr>
        <w:pStyle w:val="Heading1"/>
        <w:keepNext/>
      </w:pPr>
      <w:r>
        <w:t>How to use this template</w:t>
      </w:r>
    </w:p>
    <w:p>
      <w:pPr>
        <w:pStyle w:val="PolicyList"/>
        <w:keepLines/>
        <w:widowControl/>
        <w:numPr>
          <w:ilvl w:val="0"/>
          <w:numId w:val="42"/>
        </w:numPr>
        <w:ind w:left="540" w:hanging="270"/>
      </w:pPr>
      <w:r>
        <w:rPr>
          <w:rFonts w:ascii="Calibri" w:hAnsi="Calibri"/>
          <w:color w:val="0B2545"/>
          <w:sz w:val="22"/>
        </w:rPr>
        <w:t>Form a small cross-functional group that includes program, fundraising, operations, data or technology, privacy or legal, and people who understand the communities affected by the policy.</w:t>
      </w:r>
    </w:p>
    <w:p>
      <w:pPr>
        <w:pStyle w:val="PolicyList"/>
        <w:keepLines/>
        <w:widowControl/>
        <w:numPr>
          <w:ilvl w:val="0"/>
          <w:numId w:val="42"/>
        </w:numPr>
        <w:ind w:left="540" w:hanging="270"/>
      </w:pPr>
      <w:r>
        <w:rPr>
          <w:rFonts w:ascii="Calibri" w:hAnsi="Calibri"/>
          <w:color w:val="0B2545"/>
          <w:sz w:val="22"/>
        </w:rPr>
        <w:t>Inventory current AI use before writing rules. Include free tools, features inside existing software, meeting assistants, search, translation, analytics, and connected agents.</w:t>
      </w:r>
    </w:p>
    <w:p>
      <w:pPr>
        <w:pStyle w:val="PolicyList"/>
        <w:keepLines/>
        <w:widowControl/>
        <w:numPr>
          <w:ilvl w:val="0"/>
          <w:numId w:val="42"/>
        </w:numPr>
        <w:ind w:left="540" w:hanging="270"/>
      </w:pPr>
      <w:r>
        <w:rPr>
          <w:rFonts w:ascii="Calibri" w:hAnsi="Calibri"/>
          <w:color w:val="0B2545"/>
          <w:sz w:val="22"/>
        </w:rPr>
        <w:t>Adapt the risk tiers and approval path to your organization. A small advocacy nonprofit and a health or safeguarding organization will not have the same boundary.</w:t>
      </w:r>
    </w:p>
    <w:p>
      <w:pPr>
        <w:pStyle w:val="PolicyList"/>
        <w:keepLines/>
        <w:widowControl/>
        <w:numPr>
          <w:ilvl w:val="0"/>
          <w:numId w:val="42"/>
        </w:numPr>
        <w:ind w:left="540" w:hanging="270"/>
      </w:pPr>
      <w:r>
        <w:rPr>
          <w:rFonts w:ascii="Calibri" w:hAnsi="Calibri"/>
          <w:color w:val="0B2545"/>
          <w:sz w:val="22"/>
        </w:rPr>
        <w:t>Review the policy with staff and board leaders, then pair it with training, approved-tool guidance, a use-case register, incident reporting, and regular review.</w:t>
      </w:r>
    </w:p>
    <w:p>
      <w:pPr>
        <w:pStyle w:val="PolicyList"/>
        <w:keepLines/>
        <w:widowControl/>
        <w:numPr>
          <w:ilvl w:val="0"/>
          <w:numId w:val="42"/>
        </w:numPr>
        <w:ind w:left="540" w:hanging="270"/>
      </w:pPr>
      <w:r>
        <w:rPr>
          <w:rFonts w:ascii="Calibri" w:hAnsi="Calibri"/>
          <w:color w:val="0B2545"/>
          <w:sz w:val="22"/>
        </w:rPr>
        <w:t>Test difficult workflows with synthetic or appropriately de-identified data before a system touches production records or people.</w:t>
      </w:r>
    </w:p>
    <w:p>
      <w:pPr>
        <w:pStyle w:val="PolicyCallout"/>
        <w:shd w:fill="F4F7FB"/>
        <w:pBdr>
          <w:left w:val="single" w:sz="18" w:space="8" w:color="2E74B5"/>
        </w:pBdr>
      </w:pPr>
      <w:r>
        <w:rPr>
          <w:rFonts w:ascii="Calibri" w:hAnsi="Calibri"/>
          <w:b/>
          <w:color w:val="1F4D78"/>
          <w:sz w:val="21"/>
        </w:rPr>
        <w:t xml:space="preserve">Plain-language rule: </w:t>
      </w:r>
      <w:r>
        <w:rPr>
          <w:rFonts w:ascii="Calibri" w:hAnsi="Calibri"/>
          <w:color w:val="0B2545"/>
          <w:sz w:val="21"/>
        </w:rPr>
        <w:t>AI may assist with work. It does not take ownership of a decision, permission, promise, relationship, payment, safeguarding duty, or external action.</w:t>
      </w:r>
    </w:p>
    <w:p>
      <w:pPr>
        <w:pStyle w:val="Heading1"/>
        <w:keepNext/>
      </w:pPr>
      <w:r>
        <w:t>Policy</w:t>
      </w:r>
    </w:p>
    <w:p>
      <w:pPr>
        <w:pStyle w:val="Heading2"/>
        <w:keepNext/>
      </w:pPr>
      <w:r>
        <w:t>1. Purpose</w:t>
      </w:r>
    </w:p>
    <w:p>
      <w:pPr/>
      <w:r>
        <w:rPr>
          <w:rFonts w:ascii="Calibri" w:hAnsi="Calibri"/>
          <w:color w:val="0B2545"/>
          <w:sz w:val="22"/>
        </w:rPr>
        <w:t>[Organization name] uses artificial intelligence only when it supports our mission, respects the people and communities we serve, protects entrusted information, and leaves accountable people in control. This policy sets the minimum rules for selecting, configuring, using, reviewing, and retiring AI systems.</w:t>
      </w:r>
    </w:p>
    <w:p>
      <w:pPr>
        <w:pStyle w:val="Heading2"/>
        <w:keepNext/>
      </w:pPr>
      <w:r>
        <w:t>2. Scope</w:t>
      </w:r>
    </w:p>
    <w:p>
      <w:pPr/>
      <w:r>
        <w:rPr>
          <w:rFonts w:ascii="Calibri" w:hAnsi="Calibri"/>
          <w:color w:val="0B2545"/>
          <w:sz w:val="22"/>
        </w:rPr>
        <w:t>This policy applies to board members, employees, contractors, interns, volunteers, and other people acting for [Organization name]. It applies to stand-alone AI tools, AI features inside existing software, models accessed through an API, connected agents, automated decision support, and vendors or partners that process our information with AI.</w:t>
      </w:r>
    </w:p>
    <w:p>
      <w:pPr/>
      <w:r>
        <w:rPr>
          <w:rFonts w:ascii="Calibri" w:hAnsi="Calibri"/>
          <w:color w:val="0B2545"/>
          <w:sz w:val="22"/>
        </w:rPr>
        <w:t>The policy covers work done on organization-owned and personal devices when the work uses organization information or represents the organization. It works alongside our privacy, information security, records, communications, employment, safeguarding, intellectual property, fundraising, and vendor-management policies. The stricter rule controls when policies differ.</w:t>
      </w:r>
    </w:p>
    <w:p>
      <w:pPr>
        <w:pStyle w:val="Heading2"/>
        <w:keepNext/>
      </w:pPr>
      <w:r>
        <w:t>3. Definitions</w:t>
      </w:r>
    </w:p>
    <w:p>
      <w:pPr/>
      <w:r>
        <w:rPr>
          <w:rFonts w:ascii="Calibri" w:hAnsi="Calibri"/>
          <w:b/>
          <w:color w:val="0B2545"/>
          <w:sz w:val="22"/>
        </w:rPr>
        <w:t>AI system.</w:t>
      </w:r>
      <w:r>
        <w:rPr>
          <w:rFonts w:ascii="Calibri" w:hAnsi="Calibri"/>
          <w:color w:val="0B2545"/>
          <w:sz w:val="22"/>
        </w:rPr>
        <w:t xml:space="preserve"> A machine-based system that generates content, makes predictions or recommendations, classifies information, or helps initiate an action.</w:t>
      </w:r>
    </w:p>
    <w:p>
      <w:pPr/>
      <w:r>
        <w:rPr>
          <w:rFonts w:ascii="Calibri" w:hAnsi="Calibri"/>
          <w:b/>
          <w:color w:val="0B2545"/>
          <w:sz w:val="22"/>
        </w:rPr>
        <w:t>Generative AI.</w:t>
      </w:r>
      <w:r>
        <w:rPr>
          <w:rFonts w:ascii="Calibri" w:hAnsi="Calibri"/>
          <w:color w:val="0B2545"/>
          <w:sz w:val="22"/>
        </w:rPr>
        <w:t xml:space="preserve"> An AI system that creates or transforms text, images, audio, video, software code, or other content from instructions or source material.</w:t>
      </w:r>
    </w:p>
    <w:p>
      <w:pPr/>
      <w:r>
        <w:rPr>
          <w:rFonts w:ascii="Calibri" w:hAnsi="Calibri"/>
          <w:b/>
          <w:color w:val="0B2545"/>
          <w:sz w:val="22"/>
        </w:rPr>
        <w:t>Sensitive data.</w:t>
      </w:r>
      <w:r>
        <w:rPr>
          <w:rFonts w:ascii="Calibri" w:hAnsi="Calibri"/>
          <w:color w:val="0B2545"/>
          <w:sz w:val="22"/>
        </w:rPr>
        <w:t xml:space="preserve"> Information that could cause harm or breach trust if exposed or misused, including donor, beneficiary, child, health, financial, payment, authentication, safeguarding, precise-location, immigration, employment, and protected-trait information.</w:t>
      </w:r>
    </w:p>
    <w:p>
      <w:pPr/>
      <w:r>
        <w:rPr>
          <w:rFonts w:ascii="Calibri" w:hAnsi="Calibri"/>
          <w:b/>
          <w:color w:val="0B2545"/>
          <w:sz w:val="22"/>
        </w:rPr>
        <w:t>Material decision.</w:t>
      </w:r>
      <w:r>
        <w:rPr>
          <w:rFonts w:ascii="Calibri" w:hAnsi="Calibri"/>
          <w:color w:val="0B2545"/>
          <w:sz w:val="22"/>
        </w:rPr>
        <w:t xml:space="preserve"> A decision or recommendation that can meaningfully affect a person's eligibility, access, safety, employment, benefits, services, reputation, or treatment.</w:t>
      </w:r>
    </w:p>
    <w:p>
      <w:pPr/>
      <w:r>
        <w:rPr>
          <w:rFonts w:ascii="Calibri" w:hAnsi="Calibri"/>
          <w:b/>
          <w:color w:val="0B2545"/>
          <w:sz w:val="22"/>
        </w:rPr>
        <w:t>External action.</w:t>
      </w:r>
      <w:r>
        <w:rPr>
          <w:rFonts w:ascii="Calibri" w:hAnsi="Calibri"/>
          <w:color w:val="0B2545"/>
          <w:sz w:val="22"/>
        </w:rPr>
        <w:t xml:space="preserve"> A communication, payment, filing, data change, access change, publication, transaction, or other step that reaches a person or system outside the review workspace.</w:t>
      </w:r>
    </w:p>
    <w:p>
      <w:pPr>
        <w:pStyle w:val="Heading2"/>
        <w:keepNext/>
      </w:pPr>
      <w:r>
        <w:t>4. Core commitments</w:t>
      </w:r>
    </w:p>
    <w:p>
      <w:pPr>
        <w:pStyle w:val="PolicyList"/>
        <w:keepLines/>
        <w:widowControl/>
        <w:numPr>
          <w:ilvl w:val="0"/>
          <w:numId w:val="41"/>
        </w:numPr>
        <w:ind w:left="540" w:hanging="270"/>
      </w:pPr>
      <w:r>
        <w:rPr>
          <w:rFonts w:ascii="Calibri" w:hAnsi="Calibri"/>
          <w:b/>
          <w:color w:val="0B2545"/>
          <w:sz w:val="22"/>
        </w:rPr>
        <w:t>Mission and dignity.</w:t>
      </w:r>
      <w:r>
        <w:rPr>
          <w:rFonts w:ascii="Calibri" w:hAnsi="Calibri"/>
          <w:color w:val="0B2545"/>
          <w:sz w:val="22"/>
        </w:rPr>
        <w:t xml:space="preserve"> Use must serve a defined mission purpose and respect the agency, context, culture, and dignity of affected people.</w:t>
      </w:r>
    </w:p>
    <w:p>
      <w:pPr>
        <w:pStyle w:val="PolicyList"/>
        <w:keepLines/>
        <w:widowControl/>
        <w:numPr>
          <w:ilvl w:val="0"/>
          <w:numId w:val="41"/>
        </w:numPr>
        <w:ind w:left="540" w:hanging="270"/>
      </w:pPr>
      <w:r>
        <w:rPr>
          <w:rFonts w:ascii="Calibri" w:hAnsi="Calibri"/>
          <w:b/>
          <w:color w:val="0B2545"/>
          <w:sz w:val="22"/>
        </w:rPr>
        <w:t>Accountability.</w:t>
      </w:r>
      <w:r>
        <w:rPr>
          <w:rFonts w:ascii="Calibri" w:hAnsi="Calibri"/>
          <w:color w:val="0B2545"/>
          <w:sz w:val="22"/>
        </w:rPr>
        <w:t xml:space="preserve"> A named person owns each use case and remains responsible for the result.</w:t>
      </w:r>
    </w:p>
    <w:p>
      <w:pPr>
        <w:pStyle w:val="PolicyList"/>
        <w:keepLines/>
        <w:widowControl/>
        <w:numPr>
          <w:ilvl w:val="0"/>
          <w:numId w:val="41"/>
        </w:numPr>
        <w:ind w:left="540" w:hanging="270"/>
      </w:pPr>
      <w:r>
        <w:rPr>
          <w:rFonts w:ascii="Calibri" w:hAnsi="Calibri"/>
          <w:b/>
          <w:color w:val="0B2545"/>
          <w:sz w:val="22"/>
        </w:rPr>
        <w:t>Human control.</w:t>
      </w:r>
      <w:r>
        <w:rPr>
          <w:rFonts w:ascii="Calibri" w:hAnsi="Calibri"/>
          <w:color w:val="0B2545"/>
          <w:sz w:val="22"/>
        </w:rPr>
        <w:t xml:space="preserve"> People set the boundary, review material outputs, can reject them, and approve external actions.</w:t>
      </w:r>
    </w:p>
    <w:p>
      <w:pPr>
        <w:pStyle w:val="PolicyList"/>
        <w:keepLines/>
        <w:widowControl/>
        <w:numPr>
          <w:ilvl w:val="0"/>
          <w:numId w:val="41"/>
        </w:numPr>
        <w:ind w:left="540" w:hanging="270"/>
      </w:pPr>
      <w:r>
        <w:rPr>
          <w:rFonts w:ascii="Calibri" w:hAnsi="Calibri"/>
          <w:b/>
          <w:color w:val="0B2545"/>
          <w:sz w:val="22"/>
        </w:rPr>
        <w:t>Privacy and data minimization.</w:t>
      </w:r>
      <w:r>
        <w:rPr>
          <w:rFonts w:ascii="Calibri" w:hAnsi="Calibri"/>
          <w:color w:val="0B2545"/>
          <w:sz w:val="22"/>
        </w:rPr>
        <w:t xml:space="preserve"> Use only the least data needed, in an approved system, for an approved purpose.</w:t>
      </w:r>
    </w:p>
    <w:p>
      <w:pPr>
        <w:pStyle w:val="PolicyList"/>
        <w:keepLines/>
        <w:widowControl/>
        <w:numPr>
          <w:ilvl w:val="0"/>
          <w:numId w:val="41"/>
        </w:numPr>
        <w:ind w:left="540" w:hanging="270"/>
      </w:pPr>
      <w:r>
        <w:rPr>
          <w:rFonts w:ascii="Calibri" w:hAnsi="Calibri"/>
          <w:b/>
          <w:color w:val="0B2545"/>
          <w:sz w:val="22"/>
        </w:rPr>
        <w:t>Accuracy and source support.</w:t>
      </w:r>
      <w:r>
        <w:rPr>
          <w:rFonts w:ascii="Calibri" w:hAnsi="Calibri"/>
          <w:color w:val="0B2545"/>
          <w:sz w:val="22"/>
        </w:rPr>
        <w:t xml:space="preserve"> Material claims must be checked against authoritative records or reliable sources.</w:t>
      </w:r>
    </w:p>
    <w:p>
      <w:pPr>
        <w:pStyle w:val="PolicyList"/>
        <w:keepLines/>
        <w:widowControl/>
        <w:numPr>
          <w:ilvl w:val="0"/>
          <w:numId w:val="41"/>
        </w:numPr>
        <w:ind w:left="540" w:hanging="270"/>
      </w:pPr>
      <w:r>
        <w:rPr>
          <w:rFonts w:ascii="Calibri" w:hAnsi="Calibri"/>
          <w:b/>
          <w:color w:val="0B2545"/>
          <w:sz w:val="22"/>
        </w:rPr>
        <w:t>Fairness and accessibility.</w:t>
      </w:r>
      <w:r>
        <w:rPr>
          <w:rFonts w:ascii="Calibri" w:hAnsi="Calibri"/>
          <w:color w:val="0B2545"/>
          <w:sz w:val="22"/>
        </w:rPr>
        <w:t xml:space="preserve"> Review for disparate effects, exclusion, stereotyping, accessibility barriers, and harmful inference.</w:t>
      </w:r>
    </w:p>
    <w:p>
      <w:pPr>
        <w:pStyle w:val="PolicyList"/>
        <w:keepLines/>
        <w:widowControl/>
        <w:numPr>
          <w:ilvl w:val="0"/>
          <w:numId w:val="41"/>
        </w:numPr>
        <w:ind w:left="540" w:hanging="270"/>
      </w:pPr>
      <w:r>
        <w:rPr>
          <w:rFonts w:ascii="Calibri" w:hAnsi="Calibri"/>
          <w:b/>
          <w:color w:val="0B2545"/>
          <w:sz w:val="22"/>
        </w:rPr>
        <w:t>Transparency.</w:t>
      </w:r>
      <w:r>
        <w:rPr>
          <w:rFonts w:ascii="Calibri" w:hAnsi="Calibri"/>
          <w:color w:val="0B2545"/>
          <w:sz w:val="22"/>
        </w:rPr>
        <w:t xml:space="preserve"> Be truthful about material AI use when silence could mislead a person or undermine informed choice.</w:t>
      </w:r>
    </w:p>
    <w:p>
      <w:pPr>
        <w:pStyle w:val="PolicyList"/>
        <w:keepLines/>
        <w:widowControl/>
        <w:numPr>
          <w:ilvl w:val="0"/>
          <w:numId w:val="41"/>
        </w:numPr>
        <w:ind w:left="540" w:hanging="270"/>
      </w:pPr>
      <w:r>
        <w:rPr>
          <w:rFonts w:ascii="Calibri" w:hAnsi="Calibri"/>
          <w:b/>
          <w:color w:val="0B2545"/>
          <w:sz w:val="22"/>
        </w:rPr>
        <w:t>Security and resilience.</w:t>
      </w:r>
      <w:r>
        <w:rPr>
          <w:rFonts w:ascii="Calibri" w:hAnsi="Calibri"/>
          <w:color w:val="0B2545"/>
          <w:sz w:val="22"/>
        </w:rPr>
        <w:t xml:space="preserve"> Limit access, test connected workflows, log important actions, prepare for failure, and stop unsafe use.</w:t>
      </w:r>
    </w:p>
    <w:p>
      <w:pPr>
        <w:sectPr>
          <w:headerReference w:type="default" r:id="rId9"/>
          <w:headerReference w:type="even" r:id="rId10"/>
          <w:footerReference w:type="default" r:id="rId11"/>
          <w:footerReference w:type="even" r:id="rId12"/>
          <w:pgSz w:w="12240" w:h="15840"/>
          <w:pgMar w:top="1440" w:right="1440" w:bottom="1440" w:left="1440" w:header="708" w:footer="708" w:gutter="0"/>
          <w:cols w:space="720"/>
          <w:docGrid w:linePitch="360"/>
        </w:sectPr>
      </w:pPr>
    </w:p>
    <w:p>
      <w:pPr>
        <w:pStyle w:val="Heading2"/>
        <w:keepNext/>
      </w:pPr>
      <w:r>
        <w:t>5. Risk tiers and approvals</w:t>
      </w:r>
    </w:p>
    <w:p>
      <w:pPr/>
      <w:r>
        <w:rPr>
          <w:rFonts w:ascii="Calibri" w:hAnsi="Calibri"/>
          <w:color w:val="0B2545"/>
          <w:sz w:val="22"/>
        </w:rPr>
        <w:t>The use-case owner must assign a risk tier before production use. Uncertainty, sensitive data, connected actions, vulnerable populations, or a material decision moves the use case to the higher tier.</w:t>
      </w:r>
    </w:p>
    <w:tbl>
      <w:tblPr>
        <w:tblStyle w:val="TableGrid"/>
        <w:tblW w:type="dxa" w:w="9360"/>
        <w:jc w:val="left"/>
        <w:tblLayout w:type="fixed"/>
        <w:tblLook w:firstColumn="1" w:firstRow="1" w:lastColumn="0" w:lastRow="0" w:noHBand="0" w:noVBand="1" w:val="04A0"/>
        <w:tblInd w:w="120" w:type="dxa"/>
      </w:tblPr>
      <w:tblGrid>
        <w:gridCol w:w="1150"/>
        <w:gridCol w:w="2870"/>
        <w:gridCol w:w="3210"/>
        <w:gridCol w:w="2130"/>
      </w:tblGrid>
      <w:tr>
        <w:trPr>
          <w:tblHeader w:val="true"/>
        </w:trPr>
        <w:tc>
          <w:tcPr>
            <w:tcW w:type="dxa" w:w="1150"/>
            <w:shd w:fill="0B2545"/>
            <w:vAlign w:val="center"/>
            <w:tcMar>
              <w:top w:w="80" w:type="dxa"/>
              <w:bottom w:w="80" w:type="dxa"/>
              <w:start w:w="120" w:type="dxa"/>
              <w:end w:w="120" w:type="dxa"/>
            </w:tcMar>
          </w:tcPr>
          <w:p>
            <w:pPr>
              <w:spacing w:before="0" w:after="40" w:line="259" w:lineRule="auto"/>
            </w:pPr>
            <w:r>
              <w:rPr>
                <w:rFonts w:ascii="Calibri" w:hAnsi="Calibri"/>
                <w:b/>
                <w:color w:val="FFFFFF"/>
                <w:sz w:val="18"/>
              </w:rPr>
              <w:t>Tier</w:t>
            </w:r>
          </w:p>
        </w:tc>
        <w:tc>
          <w:tcPr>
            <w:tcW w:type="dxa" w:w="2870"/>
            <w:shd w:fill="0B2545"/>
            <w:vAlign w:val="center"/>
            <w:tcMar>
              <w:top w:w="80" w:type="dxa"/>
              <w:bottom w:w="80" w:type="dxa"/>
              <w:start w:w="120" w:type="dxa"/>
              <w:end w:w="120" w:type="dxa"/>
            </w:tcMar>
          </w:tcPr>
          <w:p>
            <w:pPr>
              <w:spacing w:before="0" w:after="40" w:line="259" w:lineRule="auto"/>
            </w:pPr>
            <w:r>
              <w:rPr>
                <w:rFonts w:ascii="Calibri" w:hAnsi="Calibri"/>
                <w:b/>
                <w:color w:val="FFFFFF"/>
                <w:sz w:val="18"/>
              </w:rPr>
              <w:t>Typical use</w:t>
            </w:r>
          </w:p>
        </w:tc>
        <w:tc>
          <w:tcPr>
            <w:tcW w:type="dxa" w:w="3210"/>
            <w:shd w:fill="0B2545"/>
            <w:vAlign w:val="center"/>
            <w:tcMar>
              <w:top w:w="80" w:type="dxa"/>
              <w:bottom w:w="80" w:type="dxa"/>
              <w:start w:w="120" w:type="dxa"/>
              <w:end w:w="120" w:type="dxa"/>
            </w:tcMar>
          </w:tcPr>
          <w:p>
            <w:pPr>
              <w:spacing w:before="0" w:after="40" w:line="259" w:lineRule="auto"/>
            </w:pPr>
            <w:r>
              <w:rPr>
                <w:rFonts w:ascii="Calibri" w:hAnsi="Calibri"/>
                <w:b/>
                <w:color w:val="FFFFFF"/>
                <w:sz w:val="18"/>
              </w:rPr>
              <w:t>Minimum review</w:t>
            </w:r>
          </w:p>
        </w:tc>
        <w:tc>
          <w:tcPr>
            <w:tcW w:type="dxa" w:w="2130"/>
            <w:shd w:fill="0B2545"/>
            <w:vAlign w:val="center"/>
            <w:tcMar>
              <w:top w:w="80" w:type="dxa"/>
              <w:bottom w:w="80" w:type="dxa"/>
              <w:start w:w="120" w:type="dxa"/>
              <w:end w:w="120" w:type="dxa"/>
            </w:tcMar>
          </w:tcPr>
          <w:p>
            <w:pPr>
              <w:spacing w:before="0" w:after="40" w:line="259" w:lineRule="auto"/>
            </w:pPr>
            <w:r>
              <w:rPr>
                <w:rFonts w:ascii="Calibri" w:hAnsi="Calibri"/>
                <w:b/>
                <w:color w:val="FFFFFF"/>
                <w:sz w:val="18"/>
              </w:rPr>
              <w:t>Decision</w:t>
            </w:r>
          </w:p>
        </w:tc>
      </w:tr>
      <w:tr>
        <w:trPr>
          <w:cantSplit/>
        </w:trPr>
        <w:tc>
          <w:tcPr>
            <w:tcW w:type="dxa" w:w="1150"/>
            <w:shd w:fill="F4F7FB"/>
            <w:vAlign w:val="center"/>
            <w:tcMar>
              <w:top w:w="80" w:type="dxa"/>
              <w:bottom w:w="80" w:type="dxa"/>
              <w:start w:w="120" w:type="dxa"/>
              <w:end w:w="120" w:type="dxa"/>
            </w:tcMar>
          </w:tcPr>
          <w:p>
            <w:pPr>
              <w:spacing w:before="0" w:after="40" w:line="259" w:lineRule="auto"/>
            </w:pPr>
            <w:r>
              <w:rPr>
                <w:rFonts w:ascii="Calibri" w:hAnsi="Calibri"/>
                <w:b/>
                <w:color w:val="0B2545"/>
                <w:sz w:val="19"/>
              </w:rPr>
              <w:t>1: Low</w:t>
            </w:r>
          </w:p>
        </w:tc>
        <w:tc>
          <w:tcPr>
            <w:tcW w:type="dxa" w:w="2870"/>
            <w:shd w:fill="F4F7FB"/>
            <w:vAlign w:val="center"/>
            <w:tcMar>
              <w:top w:w="80" w:type="dxa"/>
              <w:bottom w:w="80" w:type="dxa"/>
              <w:start w:w="120" w:type="dxa"/>
              <w:end w:w="120" w:type="dxa"/>
            </w:tcMar>
          </w:tcPr>
          <w:p>
            <w:pPr>
              <w:spacing w:before="0" w:after="40" w:line="259" w:lineRule="auto"/>
            </w:pPr>
            <w:r>
              <w:rPr>
                <w:rFonts w:ascii="Calibri" w:hAnsi="Calibri"/>
                <w:b w:val="0"/>
                <w:color w:val="0B2545"/>
                <w:sz w:val="19"/>
              </w:rPr>
              <w:t>Public or approved internal information; no sensitive data; no direct effect on a person.</w:t>
            </w:r>
          </w:p>
        </w:tc>
        <w:tc>
          <w:tcPr>
            <w:tcW w:type="dxa" w:w="3210"/>
            <w:shd w:fill="F4F7FB"/>
            <w:vAlign w:val="center"/>
            <w:tcMar>
              <w:top w:w="80" w:type="dxa"/>
              <w:bottom w:w="80" w:type="dxa"/>
              <w:start w:w="120" w:type="dxa"/>
              <w:end w:w="120" w:type="dxa"/>
            </w:tcMar>
          </w:tcPr>
          <w:p>
            <w:pPr>
              <w:spacing w:before="0" w:after="40" w:line="259" w:lineRule="auto"/>
            </w:pPr>
            <w:r>
              <w:rPr>
                <w:rFonts w:ascii="Calibri" w:hAnsi="Calibri"/>
                <w:b w:val="0"/>
                <w:color w:val="0B2545"/>
                <w:sz w:val="19"/>
              </w:rPr>
              <w:t>Trained staff member checks accuracy and rights to use the source material.</w:t>
            </w:r>
          </w:p>
        </w:tc>
        <w:tc>
          <w:tcPr>
            <w:tcW w:type="dxa" w:w="2130"/>
            <w:shd w:fill="F4F7FB"/>
            <w:vAlign w:val="center"/>
            <w:tcMar>
              <w:top w:w="80" w:type="dxa"/>
              <w:bottom w:w="80" w:type="dxa"/>
              <w:start w:w="120" w:type="dxa"/>
              <w:end w:w="120" w:type="dxa"/>
            </w:tcMar>
          </w:tcPr>
          <w:p>
            <w:pPr>
              <w:spacing w:before="0" w:after="40" w:line="259" w:lineRule="auto"/>
            </w:pPr>
            <w:r>
              <w:rPr>
                <w:rFonts w:ascii="Calibri" w:hAnsi="Calibri"/>
                <w:b w:val="0"/>
                <w:color w:val="0B2545"/>
                <w:sz w:val="19"/>
              </w:rPr>
              <w:t>May proceed in an approved tool.</w:t>
            </w:r>
          </w:p>
        </w:tc>
      </w:tr>
      <w:tr>
        <w:trPr>
          <w:cantSplit/>
        </w:trPr>
        <w:tc>
          <w:tcPr>
            <w:tcW w:type="dxa" w:w="1150"/>
            <w:vAlign w:val="center"/>
            <w:tcMar>
              <w:top w:w="80" w:type="dxa"/>
              <w:bottom w:w="80" w:type="dxa"/>
              <w:start w:w="120" w:type="dxa"/>
              <w:end w:w="120" w:type="dxa"/>
            </w:tcMar>
          </w:tcPr>
          <w:p>
            <w:pPr>
              <w:spacing w:before="0" w:after="40" w:line="259" w:lineRule="auto"/>
            </w:pPr>
            <w:r>
              <w:rPr>
                <w:rFonts w:ascii="Calibri" w:hAnsi="Calibri"/>
                <w:b/>
                <w:color w:val="0B2545"/>
                <w:sz w:val="19"/>
              </w:rPr>
              <w:t>2: Moderate</w:t>
            </w:r>
          </w:p>
        </w:tc>
        <w:tc>
          <w:tcPr>
            <w:tcW w:type="dxa" w:w="2870"/>
            <w:vAlign w:val="center"/>
            <w:tcMar>
              <w:top w:w="80" w:type="dxa"/>
              <w:bottom w:w="80" w:type="dxa"/>
              <w:start w:w="120" w:type="dxa"/>
              <w:end w:w="120" w:type="dxa"/>
            </w:tcMar>
          </w:tcPr>
          <w:p>
            <w:pPr>
              <w:spacing w:before="0" w:after="40" w:line="259" w:lineRule="auto"/>
            </w:pPr>
            <w:r>
              <w:rPr>
                <w:rFonts w:ascii="Calibri" w:hAnsi="Calibri"/>
                <w:b w:val="0"/>
                <w:color w:val="0B2545"/>
                <w:sz w:val="19"/>
              </w:rPr>
              <w:t>Drafting, translation, analysis, or recommendations that use internal or constituent information.</w:t>
            </w:r>
          </w:p>
        </w:tc>
        <w:tc>
          <w:tcPr>
            <w:tcW w:type="dxa" w:w="3210"/>
            <w:vAlign w:val="center"/>
            <w:tcMar>
              <w:top w:w="80" w:type="dxa"/>
              <w:bottom w:w="80" w:type="dxa"/>
              <w:start w:w="120" w:type="dxa"/>
              <w:end w:w="120" w:type="dxa"/>
            </w:tcMar>
          </w:tcPr>
          <w:p>
            <w:pPr>
              <w:spacing w:before="0" w:after="40" w:line="259" w:lineRule="auto"/>
            </w:pPr>
            <w:r>
              <w:rPr>
                <w:rFonts w:ascii="Calibri" w:hAnsi="Calibri"/>
                <w:b w:val="0"/>
                <w:color w:val="0B2545"/>
                <w:sz w:val="19"/>
              </w:rPr>
              <w:t>Use-case owner, data owner, and a qualified human reviewer approve the workflow and output.</w:t>
            </w:r>
          </w:p>
        </w:tc>
        <w:tc>
          <w:tcPr>
            <w:tcW w:type="dxa" w:w="2130"/>
            <w:vAlign w:val="center"/>
            <w:tcMar>
              <w:top w:w="80" w:type="dxa"/>
              <w:bottom w:w="80" w:type="dxa"/>
              <w:start w:w="120" w:type="dxa"/>
              <w:end w:w="120" w:type="dxa"/>
            </w:tcMar>
          </w:tcPr>
          <w:p>
            <w:pPr>
              <w:spacing w:before="0" w:after="40" w:line="259" w:lineRule="auto"/>
            </w:pPr>
            <w:r>
              <w:rPr>
                <w:rFonts w:ascii="Calibri" w:hAnsi="Calibri"/>
                <w:b w:val="0"/>
                <w:color w:val="0B2545"/>
                <w:sz w:val="19"/>
              </w:rPr>
              <w:t>Proceed only with documented controls.</w:t>
            </w:r>
          </w:p>
        </w:tc>
      </w:tr>
      <w:tr>
        <w:trPr>
          <w:cantSplit/>
        </w:trPr>
        <w:tc>
          <w:tcPr>
            <w:tcW w:type="dxa" w:w="1150"/>
            <w:shd w:fill="F4F7FB"/>
            <w:vAlign w:val="center"/>
            <w:tcMar>
              <w:top w:w="80" w:type="dxa"/>
              <w:bottom w:w="80" w:type="dxa"/>
              <w:start w:w="120" w:type="dxa"/>
              <w:end w:w="120" w:type="dxa"/>
            </w:tcMar>
          </w:tcPr>
          <w:p>
            <w:pPr>
              <w:spacing w:before="0" w:after="40" w:line="259" w:lineRule="auto"/>
            </w:pPr>
            <w:r>
              <w:rPr>
                <w:rFonts w:ascii="Calibri" w:hAnsi="Calibri"/>
                <w:b/>
                <w:color w:val="0B2545"/>
                <w:sz w:val="19"/>
              </w:rPr>
              <w:t>3: High</w:t>
            </w:r>
          </w:p>
        </w:tc>
        <w:tc>
          <w:tcPr>
            <w:tcW w:type="dxa" w:w="2870"/>
            <w:shd w:fill="F4F7FB"/>
            <w:vAlign w:val="center"/>
            <w:tcMar>
              <w:top w:w="80" w:type="dxa"/>
              <w:bottom w:w="80" w:type="dxa"/>
              <w:start w:w="120" w:type="dxa"/>
              <w:end w:w="120" w:type="dxa"/>
            </w:tcMar>
          </w:tcPr>
          <w:p>
            <w:pPr>
              <w:spacing w:before="0" w:after="40" w:line="259" w:lineRule="auto"/>
            </w:pPr>
            <w:r>
              <w:rPr>
                <w:rFonts w:ascii="Calibri" w:hAnsi="Calibri"/>
                <w:b w:val="0"/>
                <w:color w:val="0B2545"/>
                <w:sz w:val="19"/>
              </w:rPr>
              <w:t>A material decision, sensitive population, connected action, large-scale personalization, or consequential inference.</w:t>
            </w:r>
          </w:p>
        </w:tc>
        <w:tc>
          <w:tcPr>
            <w:tcW w:type="dxa" w:w="3210"/>
            <w:shd w:fill="F4F7FB"/>
            <w:vAlign w:val="center"/>
            <w:tcMar>
              <w:top w:w="80" w:type="dxa"/>
              <w:bottom w:w="80" w:type="dxa"/>
              <w:start w:w="120" w:type="dxa"/>
              <w:end w:w="120" w:type="dxa"/>
            </w:tcMar>
          </w:tcPr>
          <w:p>
            <w:pPr>
              <w:spacing w:before="0" w:after="40" w:line="259" w:lineRule="auto"/>
            </w:pPr>
            <w:r>
              <w:rPr>
                <w:rFonts w:ascii="Calibri" w:hAnsi="Calibri"/>
                <w:b w:val="0"/>
                <w:color w:val="0B2545"/>
                <w:sz w:val="19"/>
              </w:rPr>
              <w:t>Formal risk review, legal or compliance input when applicable, executive approval, testing, logging, and monitoring.</w:t>
            </w:r>
          </w:p>
        </w:tc>
        <w:tc>
          <w:tcPr>
            <w:tcW w:type="dxa" w:w="2130"/>
            <w:shd w:fill="F4F7FB"/>
            <w:vAlign w:val="center"/>
            <w:tcMar>
              <w:top w:w="80" w:type="dxa"/>
              <w:bottom w:w="80" w:type="dxa"/>
              <w:start w:w="120" w:type="dxa"/>
              <w:end w:w="120" w:type="dxa"/>
            </w:tcMar>
          </w:tcPr>
          <w:p>
            <w:pPr>
              <w:spacing w:before="0" w:after="40" w:line="259" w:lineRule="auto"/>
            </w:pPr>
            <w:r>
              <w:rPr>
                <w:rFonts w:ascii="Calibri" w:hAnsi="Calibri"/>
                <w:b w:val="0"/>
                <w:color w:val="0B2545"/>
                <w:sz w:val="19"/>
              </w:rPr>
              <w:t>Presumptively blocked until approved in writing.</w:t>
            </w:r>
          </w:p>
        </w:tc>
      </w:tr>
      <w:tr>
        <w:trPr>
          <w:cantSplit/>
        </w:trPr>
        <w:tc>
          <w:tcPr>
            <w:tcW w:type="dxa" w:w="1150"/>
            <w:vAlign w:val="center"/>
            <w:tcMar>
              <w:top w:w="80" w:type="dxa"/>
              <w:bottom w:w="80" w:type="dxa"/>
              <w:start w:w="120" w:type="dxa"/>
              <w:end w:w="120" w:type="dxa"/>
            </w:tcMar>
          </w:tcPr>
          <w:p>
            <w:pPr>
              <w:spacing w:before="0" w:after="40" w:line="259" w:lineRule="auto"/>
            </w:pPr>
            <w:r>
              <w:rPr>
                <w:rFonts w:ascii="Calibri" w:hAnsi="Calibri"/>
                <w:b/>
                <w:color w:val="0B2545"/>
                <w:sz w:val="19"/>
              </w:rPr>
              <w:t>Prohibited</w:t>
            </w:r>
          </w:p>
        </w:tc>
        <w:tc>
          <w:tcPr>
            <w:tcW w:type="dxa" w:w="2870"/>
            <w:vAlign w:val="center"/>
            <w:tcMar>
              <w:top w:w="80" w:type="dxa"/>
              <w:bottom w:w="80" w:type="dxa"/>
              <w:start w:w="120" w:type="dxa"/>
              <w:end w:w="120" w:type="dxa"/>
            </w:tcMar>
          </w:tcPr>
          <w:p>
            <w:pPr>
              <w:spacing w:before="0" w:after="40" w:line="259" w:lineRule="auto"/>
            </w:pPr>
            <w:r>
              <w:rPr>
                <w:rFonts w:ascii="Calibri" w:hAnsi="Calibri"/>
                <w:b w:val="0"/>
                <w:color w:val="0B2545"/>
                <w:sz w:val="19"/>
              </w:rPr>
              <w:t>Deception, coercion, unlawful discrimination, unauthorized sensitive data, secret impersonation, or bypass of permissions and preferences.</w:t>
            </w:r>
          </w:p>
        </w:tc>
        <w:tc>
          <w:tcPr>
            <w:tcW w:type="dxa" w:w="3210"/>
            <w:vAlign w:val="center"/>
            <w:tcMar>
              <w:top w:w="80" w:type="dxa"/>
              <w:bottom w:w="80" w:type="dxa"/>
              <w:start w:w="120" w:type="dxa"/>
              <w:end w:w="120" w:type="dxa"/>
            </w:tcMar>
          </w:tcPr>
          <w:p>
            <w:pPr>
              <w:spacing w:before="0" w:after="40" w:line="259" w:lineRule="auto"/>
            </w:pPr>
            <w:r>
              <w:rPr>
                <w:rFonts w:ascii="Calibri" w:hAnsi="Calibri"/>
                <w:b w:val="0"/>
                <w:color w:val="0B2545"/>
                <w:sz w:val="19"/>
              </w:rPr>
              <w:t>No review path under this policy.</w:t>
            </w:r>
          </w:p>
        </w:tc>
        <w:tc>
          <w:tcPr>
            <w:tcW w:type="dxa" w:w="2130"/>
            <w:vAlign w:val="center"/>
            <w:tcMar>
              <w:top w:w="80" w:type="dxa"/>
              <w:bottom w:w="80" w:type="dxa"/>
              <w:start w:w="120" w:type="dxa"/>
              <w:end w:w="120" w:type="dxa"/>
            </w:tcMar>
          </w:tcPr>
          <w:p>
            <w:pPr>
              <w:spacing w:before="0" w:after="40" w:line="259" w:lineRule="auto"/>
            </w:pPr>
            <w:r>
              <w:rPr>
                <w:rFonts w:ascii="Calibri" w:hAnsi="Calibri"/>
                <w:b w:val="0"/>
                <w:color w:val="0B2545"/>
                <w:sz w:val="19"/>
              </w:rPr>
              <w:t>Do not use.</w:t>
            </w:r>
          </w:p>
        </w:tc>
      </w:tr>
    </w:tbl>
    <w:p>
      <w:pPr>
        <w:pStyle w:val="SourceNote"/>
      </w:pPr>
      <w:r>
        <w:rPr>
          <w:rFonts w:ascii="Calibri" w:hAnsi="Calibri"/>
          <w:i/>
          <w:color w:val="5C6670"/>
          <w:sz w:val="19"/>
        </w:rPr>
        <w:t>Adapt the tiers to your programs, data classifications, insurance, contracts, and legal obligations.</w:t>
      </w:r>
    </w:p>
    <w:p>
      <w:pPr>
        <w:pStyle w:val="Heading2"/>
        <w:keepNext/>
      </w:pPr>
      <w:r>
        <w:t>6. Approved use</w:t>
      </w:r>
    </w:p>
    <w:p>
      <w:pPr/>
      <w:r>
        <w:rPr>
          <w:rFonts w:ascii="Calibri" w:hAnsi="Calibri"/>
          <w:color w:val="0B2545"/>
          <w:sz w:val="22"/>
        </w:rPr>
        <w:t>Staff may use AI only through approved systems and within the approved use-case boundary. Approval is specific to the purpose, people, data, system, integrations, and action scope. Approval for one workflow does not cover a different workflow.</w:t>
      </w:r>
    </w:p>
    <w:p>
      <w:pPr/>
      <w:r>
        <w:rPr>
          <w:rFonts w:ascii="Calibri" w:hAnsi="Calibri"/>
          <w:color w:val="0B2545"/>
          <w:sz w:val="22"/>
        </w:rPr>
        <w:t>Examples that may qualify as low risk when no restricted information is used:</w:t>
      </w:r>
    </w:p>
    <w:p>
      <w:pPr>
        <w:pStyle w:val="PolicyList"/>
        <w:keepLines/>
        <w:widowControl/>
        <w:numPr>
          <w:ilvl w:val="0"/>
          <w:numId w:val="41"/>
        </w:numPr>
        <w:ind w:left="540" w:hanging="270"/>
      </w:pPr>
      <w:r>
        <w:rPr>
          <w:rFonts w:ascii="Calibri" w:hAnsi="Calibri"/>
          <w:color w:val="0B2545"/>
          <w:sz w:val="22"/>
        </w:rPr>
        <w:t>Brainstorming outlines, interview questions, training exercises, or administrative checklists from public or approved internal information.</w:t>
      </w:r>
    </w:p>
    <w:p>
      <w:pPr>
        <w:pStyle w:val="PolicyList"/>
        <w:keepLines/>
        <w:widowControl/>
        <w:numPr>
          <w:ilvl w:val="0"/>
          <w:numId w:val="41"/>
        </w:numPr>
        <w:ind w:left="540" w:hanging="270"/>
      </w:pPr>
      <w:r>
        <w:rPr>
          <w:rFonts w:ascii="Calibri" w:hAnsi="Calibri"/>
          <w:color w:val="0B2545"/>
          <w:sz w:val="22"/>
        </w:rPr>
        <w:t>Editing spelling, grammar, clarity, or format while a person retains the original meaning and checks the result.</w:t>
      </w:r>
    </w:p>
    <w:p>
      <w:pPr>
        <w:pStyle w:val="PolicyList"/>
        <w:keepLines/>
        <w:widowControl/>
        <w:numPr>
          <w:ilvl w:val="0"/>
          <w:numId w:val="41"/>
        </w:numPr>
        <w:ind w:left="540" w:hanging="270"/>
      </w:pPr>
      <w:r>
        <w:rPr>
          <w:rFonts w:ascii="Calibri" w:hAnsi="Calibri"/>
          <w:color w:val="0B2545"/>
          <w:sz w:val="22"/>
        </w:rPr>
        <w:t>Summarizing public reports or approved internal material when the summary is checked against the source.</w:t>
      </w:r>
    </w:p>
    <w:p>
      <w:pPr>
        <w:pStyle w:val="PolicyList"/>
        <w:keepLines/>
        <w:widowControl/>
        <w:numPr>
          <w:ilvl w:val="0"/>
          <w:numId w:val="41"/>
        </w:numPr>
        <w:ind w:left="540" w:hanging="270"/>
      </w:pPr>
      <w:r>
        <w:rPr>
          <w:rFonts w:ascii="Calibri" w:hAnsi="Calibri"/>
          <w:color w:val="0B2545"/>
          <w:sz w:val="22"/>
        </w:rPr>
        <w:t>Drafting internal alternatives that are not treated as facts, decisions, or final communications.</w:t>
      </w:r>
    </w:p>
    <w:p>
      <w:pPr>
        <w:pStyle w:val="PolicyList"/>
        <w:keepLines/>
        <w:widowControl/>
        <w:numPr>
          <w:ilvl w:val="0"/>
          <w:numId w:val="41"/>
        </w:numPr>
        <w:ind w:left="540" w:hanging="270"/>
      </w:pPr>
      <w:r>
        <w:rPr>
          <w:rFonts w:ascii="Calibri" w:hAnsi="Calibri"/>
          <w:color w:val="0B2545"/>
          <w:sz w:val="22"/>
        </w:rPr>
        <w:t>Creating software code or formulas in an approved environment, followed by review and testing before use.</w:t>
      </w:r>
    </w:p>
    <w:p>
      <w:pPr/>
      <w:r>
        <w:rPr>
          <w:rFonts w:ascii="Calibri" w:hAnsi="Calibri"/>
          <w:color w:val="0B2545"/>
          <w:sz w:val="22"/>
        </w:rPr>
        <w:t>Uses involving constituent records, fundraising recommendations, personalization, translation, beneficiary stories, connected systems, or external communication require the moderate- or high-risk review that applies to the actual workflow.</w:t>
      </w:r>
    </w:p>
    <w:p>
      <w:pPr>
        <w:pStyle w:val="Heading2"/>
        <w:keepNext/>
      </w:pPr>
      <w:r>
        <w:t>7. Prohibited use</w:t>
      </w:r>
    </w:p>
    <w:p>
      <w:pPr>
        <w:pStyle w:val="PolicyList"/>
        <w:keepLines/>
        <w:widowControl/>
        <w:numPr>
          <w:ilvl w:val="0"/>
          <w:numId w:val="41"/>
        </w:numPr>
        <w:ind w:left="540" w:hanging="270"/>
      </w:pPr>
      <w:r>
        <w:rPr>
          <w:rFonts w:ascii="Calibri" w:hAnsi="Calibri"/>
          <w:color w:val="0B2545"/>
          <w:sz w:val="22"/>
        </w:rPr>
        <w:t>Enter sensitive or confidential information into an unapproved AI system, personal account, or public consumer tool.</w:t>
      </w:r>
    </w:p>
    <w:p>
      <w:pPr>
        <w:pStyle w:val="PolicyList"/>
        <w:keepLines/>
        <w:widowControl/>
        <w:numPr>
          <w:ilvl w:val="0"/>
          <w:numId w:val="41"/>
        </w:numPr>
        <w:ind w:left="540" w:hanging="270"/>
      </w:pPr>
      <w:r>
        <w:rPr>
          <w:rFonts w:ascii="Calibri" w:hAnsi="Calibri"/>
          <w:color w:val="0B2545"/>
          <w:sz w:val="22"/>
        </w:rPr>
        <w:t>Share passwords, private keys, authentication codes, full payment-card data, or other secrets with an AI system.</w:t>
      </w:r>
    </w:p>
    <w:p>
      <w:pPr>
        <w:pStyle w:val="PolicyList"/>
        <w:keepLines/>
        <w:widowControl/>
        <w:numPr>
          <w:ilvl w:val="0"/>
          <w:numId w:val="41"/>
        </w:numPr>
        <w:ind w:left="540" w:hanging="270"/>
      </w:pPr>
      <w:r>
        <w:rPr>
          <w:rFonts w:ascii="Calibri" w:hAnsi="Calibri"/>
          <w:color w:val="0B2545"/>
          <w:sz w:val="22"/>
        </w:rPr>
        <w:t>Use AI to impersonate a real person, create a false testimonial, fabricate a quote or record, or conceal authorship in a way that deceives the audience.</w:t>
      </w:r>
    </w:p>
    <w:p>
      <w:pPr>
        <w:pStyle w:val="PolicyList"/>
        <w:keepLines/>
        <w:widowControl/>
        <w:numPr>
          <w:ilvl w:val="0"/>
          <w:numId w:val="41"/>
        </w:numPr>
        <w:ind w:left="540" w:hanging="270"/>
      </w:pPr>
      <w:r>
        <w:rPr>
          <w:rFonts w:ascii="Calibri" w:hAnsi="Calibri"/>
          <w:color w:val="0B2545"/>
          <w:sz w:val="22"/>
        </w:rPr>
        <w:t>Use AI to manipulate, pressure, shame, exploit, or target a person based on vulnerability, trauma, hardship, age, health, immigration status, or another sensitive circumstance.</w:t>
      </w:r>
    </w:p>
    <w:p>
      <w:pPr>
        <w:pStyle w:val="PolicyList"/>
        <w:keepLines/>
        <w:widowControl/>
        <w:numPr>
          <w:ilvl w:val="0"/>
          <w:numId w:val="41"/>
        </w:numPr>
        <w:ind w:left="540" w:hanging="270"/>
      </w:pPr>
      <w:r>
        <w:rPr>
          <w:rFonts w:ascii="Calibri" w:hAnsi="Calibri"/>
          <w:color w:val="0B2545"/>
          <w:sz w:val="22"/>
        </w:rPr>
        <w:t>Bypass permissions, communication preferences, consent, opt-outs, access controls, approval steps, or a person's request for human contact.</w:t>
      </w:r>
    </w:p>
    <w:p>
      <w:pPr>
        <w:pStyle w:val="PolicyList"/>
        <w:keepLines/>
        <w:widowControl/>
        <w:numPr>
          <w:ilvl w:val="0"/>
          <w:numId w:val="41"/>
        </w:numPr>
        <w:ind w:left="540" w:hanging="270"/>
      </w:pPr>
      <w:r>
        <w:rPr>
          <w:rFonts w:ascii="Calibri" w:hAnsi="Calibri"/>
          <w:color w:val="0B2545"/>
          <w:sz w:val="22"/>
        </w:rPr>
        <w:t>Let an AI system independently send a donor or beneficiary communication, publish content, move money, change access, file a form, update an authoritative record, or trigger another external action.</w:t>
      </w:r>
    </w:p>
    <w:p>
      <w:pPr>
        <w:pStyle w:val="PolicyList"/>
        <w:keepLines/>
        <w:widowControl/>
        <w:numPr>
          <w:ilvl w:val="0"/>
          <w:numId w:val="41"/>
        </w:numPr>
        <w:ind w:left="540" w:hanging="270"/>
      </w:pPr>
      <w:r>
        <w:rPr>
          <w:rFonts w:ascii="Calibri" w:hAnsi="Calibri"/>
          <w:color w:val="0B2545"/>
          <w:sz w:val="22"/>
        </w:rPr>
        <w:t>Use an AI output as the sole basis for a material decision about employment, services, eligibility, safety, safeguarding, benefits, or access.</w:t>
      </w:r>
    </w:p>
    <w:p>
      <w:pPr>
        <w:pStyle w:val="PolicyList"/>
        <w:keepLines/>
        <w:widowControl/>
        <w:numPr>
          <w:ilvl w:val="0"/>
          <w:numId w:val="41"/>
        </w:numPr>
        <w:ind w:left="540" w:hanging="270"/>
      </w:pPr>
      <w:r>
        <w:rPr>
          <w:rFonts w:ascii="Calibri" w:hAnsi="Calibri"/>
          <w:color w:val="0B2545"/>
          <w:sz w:val="22"/>
        </w:rPr>
        <w:t>Infer protected traits, health, vulnerability, belief, family status, or other sensitive characteristics unless the use is lawful, necessary, approved, and supported by an explicit mission and rights-based review.</w:t>
      </w:r>
    </w:p>
    <w:p>
      <w:pPr>
        <w:pStyle w:val="PolicyList"/>
        <w:keepLines/>
        <w:widowControl/>
        <w:numPr>
          <w:ilvl w:val="0"/>
          <w:numId w:val="41"/>
        </w:numPr>
        <w:ind w:left="540" w:hanging="270"/>
      </w:pPr>
      <w:r>
        <w:rPr>
          <w:rFonts w:ascii="Calibri" w:hAnsi="Calibri"/>
          <w:color w:val="0B2545"/>
          <w:sz w:val="22"/>
        </w:rPr>
        <w:t>Use copyrighted, licensed, confidential, or community-owned material outside the rights and permissions granted to the organization.</w:t>
      </w:r>
    </w:p>
    <w:p>
      <w:pPr>
        <w:pStyle w:val="PolicyList"/>
        <w:keepLines/>
        <w:widowControl/>
        <w:numPr>
          <w:ilvl w:val="0"/>
          <w:numId w:val="41"/>
        </w:numPr>
        <w:ind w:left="540" w:hanging="270"/>
      </w:pPr>
      <w:r>
        <w:rPr>
          <w:rFonts w:ascii="Calibri" w:hAnsi="Calibri"/>
          <w:color w:val="0B2545"/>
          <w:sz w:val="22"/>
        </w:rPr>
        <w:t>Continue a workflow after a material control failure, suspected breach, harmful output, unexplained disparity, or instruction from the policy owner to stop.</w:t>
      </w:r>
    </w:p>
    <w:p>
      <w:pPr>
        <w:pStyle w:val="Heading2"/>
        <w:keepNext/>
      </w:pPr>
      <w:r>
        <w:t>8. Data protection and privacy</w:t>
      </w:r>
    </w:p>
    <w:p>
      <w:pPr>
        <w:pStyle w:val="PolicyList"/>
        <w:keepLines/>
        <w:widowControl/>
        <w:numPr>
          <w:ilvl w:val="0"/>
          <w:numId w:val="41"/>
        </w:numPr>
        <w:ind w:left="540" w:hanging="270"/>
      </w:pPr>
      <w:r>
        <w:rPr>
          <w:rFonts w:ascii="Calibri" w:hAnsi="Calibri"/>
          <w:color w:val="0B2545"/>
          <w:sz w:val="22"/>
        </w:rPr>
        <w:t>Use only approved accounts, systems, models, and integrations. Personal AI accounts are not approved for organization data unless the policy owner records an exception.</w:t>
      </w:r>
    </w:p>
    <w:p>
      <w:pPr>
        <w:pStyle w:val="PolicyList"/>
        <w:keepLines/>
        <w:widowControl/>
        <w:numPr>
          <w:ilvl w:val="0"/>
          <w:numId w:val="41"/>
        </w:numPr>
        <w:ind w:left="540" w:hanging="270"/>
      </w:pPr>
      <w:r>
        <w:rPr>
          <w:rFonts w:ascii="Calibri" w:hAnsi="Calibri"/>
          <w:color w:val="0B2545"/>
          <w:sz w:val="22"/>
        </w:rPr>
        <w:t>Classify the data before use. Record the source, purpose, permissions, minimum fields, location, retention period, and people or systems that can access it.</w:t>
      </w:r>
    </w:p>
    <w:p>
      <w:pPr>
        <w:pStyle w:val="PolicyList"/>
        <w:keepLines/>
        <w:widowControl/>
        <w:numPr>
          <w:ilvl w:val="0"/>
          <w:numId w:val="41"/>
        </w:numPr>
        <w:ind w:left="540" w:hanging="270"/>
      </w:pPr>
      <w:r>
        <w:rPr>
          <w:rFonts w:ascii="Calibri" w:hAnsi="Calibri"/>
          <w:color w:val="0B2545"/>
          <w:sz w:val="22"/>
        </w:rPr>
        <w:t>Prefer public, synthetic, or appropriately de-identified data for testing. Do not assume a name removed from a record makes it safe.</w:t>
      </w:r>
    </w:p>
    <w:p>
      <w:pPr>
        <w:pStyle w:val="PolicyList"/>
        <w:keepLines/>
        <w:widowControl/>
        <w:numPr>
          <w:ilvl w:val="0"/>
          <w:numId w:val="41"/>
        </w:numPr>
        <w:ind w:left="540" w:hanging="270"/>
      </w:pPr>
      <w:r>
        <w:rPr>
          <w:rFonts w:ascii="Calibri" w:hAnsi="Calibri"/>
          <w:color w:val="0B2545"/>
          <w:sz w:val="22"/>
        </w:rPr>
        <w:t>Do not use donor, beneficiary, child, payment, health, safeguarding, authentication, or other sensitive data unless the use case and system are explicitly approved for that data.</w:t>
      </w:r>
    </w:p>
    <w:p>
      <w:pPr>
        <w:pStyle w:val="PolicyList"/>
        <w:keepLines/>
        <w:widowControl/>
        <w:numPr>
          <w:ilvl w:val="0"/>
          <w:numId w:val="41"/>
        </w:numPr>
        <w:ind w:left="540" w:hanging="270"/>
      </w:pPr>
      <w:r>
        <w:rPr>
          <w:rFonts w:ascii="Calibri" w:hAnsi="Calibri"/>
          <w:color w:val="0B2545"/>
          <w:sz w:val="22"/>
        </w:rPr>
        <w:t>Configure the provider not to train shared models on organization data when that control is available and consistent with the approved contract.</w:t>
      </w:r>
    </w:p>
    <w:p>
      <w:pPr>
        <w:pStyle w:val="PolicyList"/>
        <w:keepLines/>
        <w:widowControl/>
        <w:numPr>
          <w:ilvl w:val="0"/>
          <w:numId w:val="41"/>
        </w:numPr>
        <w:ind w:left="540" w:hanging="270"/>
      </w:pPr>
      <w:r>
        <w:rPr>
          <w:rFonts w:ascii="Calibri" w:hAnsi="Calibri"/>
          <w:color w:val="0B2545"/>
          <w:sz w:val="22"/>
        </w:rPr>
        <w:t>Set retention and deletion rules. Remove prompts, files, outputs, logs, and linked data when the purpose or retention period ends, subject to legal and records requirements.</w:t>
      </w:r>
    </w:p>
    <w:p>
      <w:pPr>
        <w:pStyle w:val="PolicyList"/>
        <w:keepLines/>
        <w:widowControl/>
        <w:numPr>
          <w:ilvl w:val="0"/>
          <w:numId w:val="41"/>
        </w:numPr>
        <w:ind w:left="540" w:hanging="270"/>
      </w:pPr>
      <w:r>
        <w:rPr>
          <w:rFonts w:ascii="Calibri" w:hAnsi="Calibri"/>
          <w:color w:val="0B2545"/>
          <w:sz w:val="22"/>
        </w:rPr>
        <w:t>Give people only the access needed for their role. Test that denied records are not revealed, summarized, or inferred through an AI response.</w:t>
      </w:r>
    </w:p>
    <w:p>
      <w:pPr>
        <w:pStyle w:val="PolicyList"/>
        <w:keepLines/>
        <w:widowControl/>
        <w:numPr>
          <w:ilvl w:val="0"/>
          <w:numId w:val="41"/>
        </w:numPr>
        <w:ind w:left="540" w:hanging="270"/>
      </w:pPr>
      <w:r>
        <w:rPr>
          <w:rFonts w:ascii="Calibri" w:hAnsi="Calibri"/>
          <w:color w:val="0B2545"/>
          <w:sz w:val="22"/>
        </w:rPr>
        <w:t>Do not combine datasets or infer new attributes merely because the technology makes it possible. New linkage or inference requires a new review.</w:t>
      </w:r>
    </w:p>
    <w:p>
      <w:pPr>
        <w:pStyle w:val="Heading2"/>
        <w:keepNext/>
      </w:pPr>
      <w:r>
        <w:t>9. Human review and external actions</w:t>
      </w:r>
    </w:p>
    <w:p>
      <w:pPr/>
      <w:r>
        <w:rPr>
          <w:rFonts w:ascii="Calibri" w:hAnsi="Calibri"/>
          <w:color w:val="0B2545"/>
          <w:sz w:val="22"/>
        </w:rPr>
        <w:t>A qualified reviewer must have the source access, subject knowledge, time, and authority needed to reject or correct an output. Review is not a ceremonial click.</w:t>
      </w:r>
    </w:p>
    <w:p>
      <w:pPr/>
      <w:r>
        <w:rPr>
          <w:rFonts w:ascii="Calibri" w:hAnsi="Calibri"/>
          <w:color w:val="0B2545"/>
          <w:sz w:val="22"/>
        </w:rPr>
        <w:t>Before approving a material output or external action, the reviewer must check:</w:t>
      </w:r>
    </w:p>
    <w:p>
      <w:pPr>
        <w:pStyle w:val="PolicyList"/>
        <w:keepLines/>
        <w:widowControl/>
        <w:numPr>
          <w:ilvl w:val="0"/>
          <w:numId w:val="43"/>
        </w:numPr>
        <w:ind w:left="540" w:hanging="270"/>
      </w:pPr>
      <w:r>
        <w:rPr>
          <w:rFonts w:ascii="Calibri" w:hAnsi="Calibri"/>
          <w:color w:val="0B2545"/>
          <w:sz w:val="22"/>
        </w:rPr>
        <w:t>The person and purpose are within the approved use-case boundary.</w:t>
      </w:r>
    </w:p>
    <w:p>
      <w:pPr>
        <w:pStyle w:val="PolicyList"/>
        <w:keepLines/>
        <w:widowControl/>
        <w:numPr>
          <w:ilvl w:val="0"/>
          <w:numId w:val="43"/>
        </w:numPr>
        <w:ind w:left="540" w:hanging="270"/>
      </w:pPr>
      <w:r>
        <w:rPr>
          <w:rFonts w:ascii="Calibri" w:hAnsi="Calibri"/>
          <w:color w:val="0B2545"/>
          <w:sz w:val="22"/>
        </w:rPr>
        <w:t>Source facts, amounts, dates, names, relationships, restrictions, and commitments match authoritative records.</w:t>
      </w:r>
    </w:p>
    <w:p>
      <w:pPr>
        <w:pStyle w:val="PolicyList"/>
        <w:keepLines/>
        <w:widowControl/>
        <w:numPr>
          <w:ilvl w:val="0"/>
          <w:numId w:val="43"/>
        </w:numPr>
        <w:ind w:left="540" w:hanging="270"/>
      </w:pPr>
      <w:r>
        <w:rPr>
          <w:rFonts w:ascii="Calibri" w:hAnsi="Calibri"/>
          <w:color w:val="0B2545"/>
          <w:sz w:val="22"/>
        </w:rPr>
        <w:t>The user had permission to access every source record and the recipient may receive the resulting information.</w:t>
      </w:r>
    </w:p>
    <w:p>
      <w:pPr>
        <w:pStyle w:val="PolicyList"/>
        <w:keepLines/>
        <w:widowControl/>
        <w:numPr>
          <w:ilvl w:val="0"/>
          <w:numId w:val="43"/>
        </w:numPr>
        <w:ind w:left="540" w:hanging="270"/>
      </w:pPr>
      <w:r>
        <w:rPr>
          <w:rFonts w:ascii="Calibri" w:hAnsi="Calibri"/>
          <w:color w:val="0B2545"/>
          <w:sz w:val="22"/>
        </w:rPr>
        <w:t>Consent, communication preference, suppression, no-solicitation, confidentiality, and safeguarding rules are honored.</w:t>
      </w:r>
    </w:p>
    <w:p>
      <w:pPr>
        <w:pStyle w:val="PolicyList"/>
        <w:keepLines/>
        <w:widowControl/>
        <w:numPr>
          <w:ilvl w:val="0"/>
          <w:numId w:val="43"/>
        </w:numPr>
        <w:ind w:left="540" w:hanging="270"/>
      </w:pPr>
      <w:r>
        <w:rPr>
          <w:rFonts w:ascii="Calibri" w:hAnsi="Calibri"/>
          <w:color w:val="0B2545"/>
          <w:sz w:val="22"/>
        </w:rPr>
        <w:t>The content is accurate, respectful, accessible, and suitable for the audience and context.</w:t>
      </w:r>
    </w:p>
    <w:p>
      <w:pPr>
        <w:pStyle w:val="PolicyList"/>
        <w:keepLines/>
        <w:widowControl/>
        <w:numPr>
          <w:ilvl w:val="0"/>
          <w:numId w:val="43"/>
        </w:numPr>
        <w:ind w:left="540" w:hanging="270"/>
      </w:pPr>
      <w:r>
        <w:rPr>
          <w:rFonts w:ascii="Calibri" w:hAnsi="Calibri"/>
          <w:color w:val="0B2545"/>
          <w:sz w:val="22"/>
        </w:rPr>
        <w:t>No unsupported inference, stereotype, fabricated detail, hidden instruction, or confidential information is present.</w:t>
      </w:r>
    </w:p>
    <w:p>
      <w:pPr>
        <w:pStyle w:val="PolicyList"/>
        <w:keepLines/>
        <w:widowControl/>
        <w:numPr>
          <w:ilvl w:val="0"/>
          <w:numId w:val="43"/>
        </w:numPr>
        <w:ind w:left="540" w:hanging="270"/>
      </w:pPr>
      <w:r>
        <w:rPr>
          <w:rFonts w:ascii="Calibri" w:hAnsi="Calibri"/>
          <w:color w:val="0B2545"/>
          <w:sz w:val="22"/>
        </w:rPr>
        <w:t>The proposed action is reversible or has an approved confirmation step, and the reviewer understands its consequence.</w:t>
      </w:r>
    </w:p>
    <w:p>
      <w:pPr>
        <w:pStyle w:val="Heading2"/>
        <w:keepNext/>
      </w:pPr>
      <w:r>
        <w:t>10. Fundraising and constituent communications</w:t>
      </w:r>
    </w:p>
    <w:p>
      <w:pPr>
        <w:pStyle w:val="PolicyList"/>
        <w:keepLines/>
        <w:widowControl/>
        <w:numPr>
          <w:ilvl w:val="0"/>
          <w:numId w:val="41"/>
        </w:numPr>
        <w:ind w:left="540" w:hanging="270"/>
      </w:pPr>
      <w:r>
        <w:rPr>
          <w:rFonts w:ascii="Calibri" w:hAnsi="Calibri"/>
          <w:color w:val="0B2545"/>
          <w:sz w:val="22"/>
        </w:rPr>
        <w:t>Keep the donor's interests, intent, privacy, communication preferences, and relationship context visible in the review.</w:t>
      </w:r>
    </w:p>
    <w:p>
      <w:pPr>
        <w:pStyle w:val="PolicyList"/>
        <w:keepLines/>
        <w:widowControl/>
        <w:numPr>
          <w:ilvl w:val="0"/>
          <w:numId w:val="41"/>
        </w:numPr>
        <w:ind w:left="540" w:hanging="270"/>
      </w:pPr>
      <w:r>
        <w:rPr>
          <w:rFonts w:ascii="Calibri" w:hAnsi="Calibri"/>
          <w:color w:val="0B2545"/>
          <w:sz w:val="22"/>
        </w:rPr>
        <w:t>Do not present generated language as the donor's, beneficiary's, staff member's, or community's authentic voice without permission and verification.</w:t>
      </w:r>
    </w:p>
    <w:p>
      <w:pPr>
        <w:pStyle w:val="PolicyList"/>
        <w:keepLines/>
        <w:widowControl/>
        <w:numPr>
          <w:ilvl w:val="0"/>
          <w:numId w:val="41"/>
        </w:numPr>
        <w:ind w:left="540" w:hanging="270"/>
      </w:pPr>
      <w:r>
        <w:rPr>
          <w:rFonts w:ascii="Calibri" w:hAnsi="Calibri"/>
          <w:color w:val="0B2545"/>
          <w:sz w:val="22"/>
        </w:rPr>
        <w:t>A person must verify gift history, designation, pledge, restriction, impact, tax, legal, beneficiary, and program claims before use.</w:t>
      </w:r>
    </w:p>
    <w:p>
      <w:pPr>
        <w:pStyle w:val="PolicyList"/>
        <w:keepLines/>
        <w:widowControl/>
        <w:numPr>
          <w:ilvl w:val="0"/>
          <w:numId w:val="41"/>
        </w:numPr>
        <w:ind w:left="540" w:hanging="270"/>
      </w:pPr>
      <w:r>
        <w:rPr>
          <w:rFonts w:ascii="Calibri" w:hAnsi="Calibri"/>
          <w:color w:val="0B2545"/>
          <w:sz w:val="22"/>
        </w:rPr>
        <w:t>Personalization must come from permitted, relevant information. Do not use sensitive inference or manufactured familiarity to increase pressure.</w:t>
      </w:r>
    </w:p>
    <w:p>
      <w:pPr>
        <w:pStyle w:val="PolicyList"/>
        <w:keepLines/>
        <w:widowControl/>
        <w:numPr>
          <w:ilvl w:val="0"/>
          <w:numId w:val="41"/>
        </w:numPr>
        <w:ind w:left="540" w:hanging="270"/>
      </w:pPr>
      <w:r>
        <w:rPr>
          <w:rFonts w:ascii="Calibri" w:hAnsi="Calibri"/>
          <w:color w:val="0B2545"/>
          <w:sz w:val="22"/>
        </w:rPr>
        <w:t>Stories and images involving beneficiaries require the same consent, dignity, safety, cultural context, and withdrawal rules whether AI is used or not.</w:t>
      </w:r>
    </w:p>
    <w:p>
      <w:pPr>
        <w:pStyle w:val="PolicyList"/>
        <w:keepLines/>
        <w:widowControl/>
        <w:numPr>
          <w:ilvl w:val="0"/>
          <w:numId w:val="41"/>
        </w:numPr>
        <w:ind w:left="540" w:hanging="270"/>
      </w:pPr>
      <w:r>
        <w:rPr>
          <w:rFonts w:ascii="Calibri" w:hAnsi="Calibri"/>
          <w:color w:val="0B2545"/>
          <w:sz w:val="22"/>
        </w:rPr>
        <w:t>Translation requires review appropriate to the language, audience, context, and consequence. High-stakes or safeguarding content needs qualified human review.</w:t>
      </w:r>
    </w:p>
    <w:p>
      <w:pPr>
        <w:pStyle w:val="PolicyList"/>
        <w:keepLines/>
        <w:widowControl/>
        <w:numPr>
          <w:ilvl w:val="0"/>
          <w:numId w:val="41"/>
        </w:numPr>
        <w:ind w:left="540" w:hanging="270"/>
      </w:pPr>
      <w:r>
        <w:rPr>
          <w:rFonts w:ascii="Calibri" w:hAnsi="Calibri"/>
          <w:color w:val="0B2545"/>
          <w:sz w:val="22"/>
        </w:rPr>
        <w:t>People must be able to reach a human for questions, correction, appeal, consent withdrawal, or a material decision that affects them.</w:t>
      </w:r>
    </w:p>
    <w:p>
      <w:pPr>
        <w:pStyle w:val="Heading2"/>
        <w:keepNext/>
      </w:pPr>
      <w:r>
        <w:t>11. Accuracy, fairness, accessibility, and rights</w:t>
      </w:r>
    </w:p>
    <w:p>
      <w:pPr>
        <w:pStyle w:val="PolicyList"/>
        <w:keepLines/>
        <w:widowControl/>
        <w:numPr>
          <w:ilvl w:val="0"/>
          <w:numId w:val="41"/>
        </w:numPr>
        <w:ind w:left="540" w:hanging="270"/>
      </w:pPr>
      <w:r>
        <w:rPr>
          <w:rFonts w:ascii="Calibri" w:hAnsi="Calibri"/>
          <w:color w:val="0B2545"/>
          <w:sz w:val="22"/>
        </w:rPr>
        <w:t>Test material workflows using representative scenarios, including denial, conflict, missing context, stale data, ambiguous identity, disability access, language variation, and harmful edge cases.</w:t>
      </w:r>
    </w:p>
    <w:p>
      <w:pPr>
        <w:pStyle w:val="PolicyList"/>
        <w:keepLines/>
        <w:widowControl/>
        <w:numPr>
          <w:ilvl w:val="0"/>
          <w:numId w:val="41"/>
        </w:numPr>
        <w:ind w:left="540" w:hanging="270"/>
      </w:pPr>
      <w:r>
        <w:rPr>
          <w:rFonts w:ascii="Calibri" w:hAnsi="Calibri"/>
          <w:color w:val="0B2545"/>
          <w:sz w:val="22"/>
        </w:rPr>
        <w:t>Compare error and outcome patterns for groups that could be affected differently. Investigate a material disparity before launch or continued use.</w:t>
      </w:r>
    </w:p>
    <w:p>
      <w:pPr>
        <w:pStyle w:val="PolicyList"/>
        <w:keepLines/>
        <w:widowControl/>
        <w:numPr>
          <w:ilvl w:val="0"/>
          <w:numId w:val="41"/>
        </w:numPr>
        <w:ind w:left="540" w:hanging="270"/>
      </w:pPr>
      <w:r>
        <w:rPr>
          <w:rFonts w:ascii="Calibri" w:hAnsi="Calibri"/>
          <w:color w:val="0B2545"/>
          <w:sz w:val="22"/>
        </w:rPr>
        <w:t>Do not treat a fluent answer, confidence score, citation, or vendor label as proof. Check the underlying source and method.</w:t>
      </w:r>
    </w:p>
    <w:p>
      <w:pPr>
        <w:pStyle w:val="PolicyList"/>
        <w:keepLines/>
        <w:widowControl/>
        <w:numPr>
          <w:ilvl w:val="0"/>
          <w:numId w:val="41"/>
        </w:numPr>
        <w:ind w:left="540" w:hanging="270"/>
      </w:pPr>
      <w:r>
        <w:rPr>
          <w:rFonts w:ascii="Calibri" w:hAnsi="Calibri"/>
          <w:color w:val="0B2545"/>
          <w:sz w:val="22"/>
        </w:rPr>
        <w:t>Provide a practical correction and appeal route. Record material corrections so the same error does not quietly persist.</w:t>
      </w:r>
    </w:p>
    <w:p>
      <w:pPr>
        <w:pStyle w:val="PolicyList"/>
        <w:keepLines/>
        <w:widowControl/>
        <w:numPr>
          <w:ilvl w:val="0"/>
          <w:numId w:val="41"/>
        </w:numPr>
        <w:ind w:left="540" w:hanging="270"/>
      </w:pPr>
      <w:r>
        <w:rPr>
          <w:rFonts w:ascii="Calibri" w:hAnsi="Calibri"/>
          <w:color w:val="0B2545"/>
          <w:sz w:val="22"/>
        </w:rPr>
        <w:t>Check that generated documents, forms, images, audio, video, and interfaces meet the organization's accessibility requirements.</w:t>
      </w:r>
    </w:p>
    <w:p>
      <w:pPr>
        <w:pStyle w:val="PolicyList"/>
        <w:keepLines/>
        <w:widowControl/>
        <w:numPr>
          <w:ilvl w:val="0"/>
          <w:numId w:val="41"/>
        </w:numPr>
        <w:ind w:left="540" w:hanging="270"/>
      </w:pPr>
      <w:r>
        <w:rPr>
          <w:rFonts w:ascii="Calibri" w:hAnsi="Calibri"/>
          <w:color w:val="0B2545"/>
          <w:sz w:val="22"/>
        </w:rPr>
        <w:t>Respect copyright, license, publicity, privacy, cultural ownership, and attribution obligations for inputs and outputs.</w:t>
      </w:r>
    </w:p>
    <w:p>
      <w:pPr>
        <w:pStyle w:val="Heading2"/>
        <w:keepNext/>
      </w:pPr>
      <w:r>
        <w:t>12. Transparency</w:t>
      </w:r>
    </w:p>
    <w:p>
      <w:pPr/>
      <w:r>
        <w:rPr>
          <w:rFonts w:ascii="Calibri" w:hAnsi="Calibri"/>
          <w:color w:val="0B2545"/>
          <w:sz w:val="22"/>
        </w:rPr>
        <w:t>[Organization name] will disclose AI use when the system interacts directly with a person, produces material content that could reasonably be mistaken for a person's firsthand account, contributes substantially to a consequential recommendation, or when disclosure is required by law, contract, policy, or informed consent.</w:t>
      </w:r>
    </w:p>
    <w:p>
      <w:pPr/>
      <w:r>
        <w:rPr>
          <w:rFonts w:ascii="Calibri" w:hAnsi="Calibri"/>
          <w:color w:val="0B2545"/>
          <w:sz w:val="22"/>
        </w:rPr>
        <w:t>Disclosure should be understandable, timely, and close to the relevant interaction. It should name the practical role of AI and the human contact or review path. Routine spelling assistance or internal brainstorming does not require a public label unless context makes the omission misleading.</w:t>
      </w:r>
    </w:p>
    <w:p>
      <w:pPr>
        <w:pStyle w:val="Heading2"/>
        <w:keepNext/>
      </w:pPr>
      <w:r>
        <w:t>13. Vendor and connected-system review</w:t>
      </w:r>
    </w:p>
    <w:p>
      <w:pPr/>
      <w:r>
        <w:rPr>
          <w:rFonts w:ascii="Calibri" w:hAnsi="Calibri"/>
          <w:color w:val="0B2545"/>
          <w:sz w:val="22"/>
        </w:rPr>
        <w:t>Before approval, the data or system owner must document:</w:t>
      </w:r>
    </w:p>
    <w:p>
      <w:pPr>
        <w:pStyle w:val="PolicyList"/>
        <w:keepLines/>
        <w:widowControl/>
        <w:numPr>
          <w:ilvl w:val="0"/>
          <w:numId w:val="43"/>
        </w:numPr>
        <w:ind w:left="540" w:hanging="270"/>
      </w:pPr>
      <w:r>
        <w:rPr>
          <w:rFonts w:ascii="Calibri" w:hAnsi="Calibri"/>
          <w:color w:val="0B2545"/>
          <w:sz w:val="22"/>
        </w:rPr>
        <w:t>The provider, model or service, intended use, system owner, data location, integrations, subprocessors, and change-notice practice.</w:t>
      </w:r>
    </w:p>
    <w:p>
      <w:pPr>
        <w:pStyle w:val="PolicyList"/>
        <w:keepLines/>
        <w:widowControl/>
        <w:numPr>
          <w:ilvl w:val="0"/>
          <w:numId w:val="43"/>
        </w:numPr>
        <w:ind w:left="540" w:hanging="270"/>
      </w:pPr>
      <w:r>
        <w:rPr>
          <w:rFonts w:ascii="Calibri" w:hAnsi="Calibri"/>
          <w:color w:val="0B2545"/>
          <w:sz w:val="22"/>
        </w:rPr>
        <w:t>Whether organization data is used for provider or shared-model training, and which controls or contract terms govern that use.</w:t>
      </w:r>
    </w:p>
    <w:p>
      <w:pPr>
        <w:pStyle w:val="PolicyList"/>
        <w:keepLines/>
        <w:widowControl/>
        <w:numPr>
          <w:ilvl w:val="0"/>
          <w:numId w:val="43"/>
        </w:numPr>
        <w:ind w:left="540" w:hanging="270"/>
      </w:pPr>
      <w:r>
        <w:rPr>
          <w:rFonts w:ascii="Calibri" w:hAnsi="Calibri"/>
          <w:color w:val="0B2545"/>
          <w:sz w:val="22"/>
        </w:rPr>
        <w:t>Security controls, authentication, role-based access, encryption, logs, incident notice, vulnerability management, and independent assurance relevant to the risk.</w:t>
      </w:r>
    </w:p>
    <w:p>
      <w:pPr>
        <w:pStyle w:val="PolicyList"/>
        <w:keepLines/>
        <w:widowControl/>
        <w:numPr>
          <w:ilvl w:val="0"/>
          <w:numId w:val="43"/>
        </w:numPr>
        <w:ind w:left="540" w:hanging="270"/>
      </w:pPr>
      <w:r>
        <w:rPr>
          <w:rFonts w:ascii="Calibri" w:hAnsi="Calibri"/>
          <w:color w:val="0B2545"/>
          <w:sz w:val="22"/>
        </w:rPr>
        <w:t>Retention, deletion, export, backup, business continuity, service termination, and the organization's ability to recover or move its records.</w:t>
      </w:r>
    </w:p>
    <w:p>
      <w:pPr>
        <w:pStyle w:val="PolicyList"/>
        <w:keepLines/>
        <w:widowControl/>
        <w:numPr>
          <w:ilvl w:val="0"/>
          <w:numId w:val="43"/>
        </w:numPr>
        <w:ind w:left="540" w:hanging="270"/>
      </w:pPr>
      <w:r>
        <w:rPr>
          <w:rFonts w:ascii="Calibri" w:hAnsi="Calibri"/>
          <w:color w:val="0B2545"/>
          <w:sz w:val="22"/>
        </w:rPr>
        <w:t>Rights to organization inputs and outputs, confidentiality, indemnity, warranties, use restrictions, audit rights, and allocation of responsibility.</w:t>
      </w:r>
    </w:p>
    <w:p>
      <w:pPr>
        <w:pStyle w:val="PolicyList"/>
        <w:keepLines/>
        <w:widowControl/>
        <w:numPr>
          <w:ilvl w:val="0"/>
          <w:numId w:val="43"/>
        </w:numPr>
        <w:ind w:left="540" w:hanging="270"/>
      </w:pPr>
      <w:r>
        <w:rPr>
          <w:rFonts w:ascii="Calibri" w:hAnsi="Calibri"/>
          <w:color w:val="0B2545"/>
          <w:sz w:val="22"/>
        </w:rPr>
        <w:t>How model, feature, policy, subprocessor, data location, or integration changes will be detected and reviewed before they expand the approved boundary.</w:t>
      </w:r>
    </w:p>
    <w:p>
      <w:pPr>
        <w:pStyle w:val="PolicyList"/>
        <w:keepLines/>
        <w:widowControl/>
        <w:numPr>
          <w:ilvl w:val="0"/>
          <w:numId w:val="43"/>
        </w:numPr>
        <w:ind w:left="540" w:hanging="270"/>
      </w:pPr>
      <w:r>
        <w:rPr>
          <w:rFonts w:ascii="Calibri" w:hAnsi="Calibri"/>
          <w:color w:val="0B2545"/>
          <w:sz w:val="22"/>
        </w:rPr>
        <w:t>Whether a connected tool can read, write, send, publish, transact, grant access, or trigger another system, and how each action is constrained and confirmed.</w:t>
      </w:r>
    </w:p>
    <w:p>
      <w:pPr>
        <w:pStyle w:val="Heading2"/>
        <w:keepNext/>
      </w:pPr>
      <w:r>
        <w:t>14. Security and incident response</w:t>
      </w:r>
    </w:p>
    <w:p>
      <w:pPr/>
      <w:r>
        <w:rPr>
          <w:rFonts w:ascii="Calibri" w:hAnsi="Calibri"/>
          <w:color w:val="0B2545"/>
          <w:sz w:val="22"/>
        </w:rPr>
        <w:t>AI systems must follow the organization's security baseline. Connected or agentic workflows require least privilege, scoped credentials, controlled tools, logging, rate and value limits when applicable, safe failure, and a tested way to suspend access.</w:t>
      </w:r>
    </w:p>
    <w:p>
      <w:pPr/>
      <w:r>
        <w:rPr>
          <w:rFonts w:ascii="Calibri" w:hAnsi="Calibri"/>
          <w:color w:val="0B2545"/>
          <w:sz w:val="22"/>
        </w:rPr>
        <w:t>Anyone who suspects a material problem must:</w:t>
      </w:r>
    </w:p>
    <w:p>
      <w:pPr>
        <w:pStyle w:val="PolicyList"/>
        <w:keepLines/>
        <w:widowControl/>
        <w:numPr>
          <w:ilvl w:val="0"/>
          <w:numId w:val="44"/>
        </w:numPr>
        <w:ind w:left="540" w:hanging="270"/>
      </w:pPr>
      <w:r>
        <w:rPr>
          <w:rFonts w:ascii="Calibri" w:hAnsi="Calibri"/>
          <w:color w:val="0B2545"/>
          <w:sz w:val="22"/>
        </w:rPr>
        <w:t>Stop or isolate the affected workflow when it is safe to do so.</w:t>
      </w:r>
    </w:p>
    <w:p>
      <w:pPr>
        <w:pStyle w:val="PolicyList"/>
        <w:keepLines/>
        <w:widowControl/>
        <w:numPr>
          <w:ilvl w:val="0"/>
          <w:numId w:val="44"/>
        </w:numPr>
        <w:ind w:left="540" w:hanging="270"/>
      </w:pPr>
      <w:r>
        <w:rPr>
          <w:rFonts w:ascii="Calibri" w:hAnsi="Calibri"/>
          <w:color w:val="0B2545"/>
          <w:sz w:val="22"/>
        </w:rPr>
        <w:t>Report the issue through [incident channel] and contact [responsible role].</w:t>
      </w:r>
    </w:p>
    <w:p>
      <w:pPr>
        <w:pStyle w:val="PolicyList"/>
        <w:keepLines/>
        <w:widowControl/>
        <w:numPr>
          <w:ilvl w:val="0"/>
          <w:numId w:val="44"/>
        </w:numPr>
        <w:ind w:left="540" w:hanging="270"/>
      </w:pPr>
      <w:r>
        <w:rPr>
          <w:rFonts w:ascii="Calibri" w:hAnsi="Calibri"/>
          <w:color w:val="0B2545"/>
          <w:sz w:val="22"/>
        </w:rPr>
        <w:t>Preserve relevant prompts, outputs, logs, versions, approvals, and source records without spreading sensitive information.</w:t>
      </w:r>
    </w:p>
    <w:p>
      <w:pPr>
        <w:pStyle w:val="PolicyList"/>
        <w:keepLines/>
        <w:widowControl/>
        <w:numPr>
          <w:ilvl w:val="0"/>
          <w:numId w:val="44"/>
        </w:numPr>
        <w:ind w:left="540" w:hanging="270"/>
      </w:pPr>
      <w:r>
        <w:rPr>
          <w:rFonts w:ascii="Calibri" w:hAnsi="Calibri"/>
          <w:color w:val="0B2545"/>
          <w:sz w:val="22"/>
        </w:rPr>
        <w:t>Assess affected people, data, systems, actions, legal or contractual duties, and whether notice or correction is required.</w:t>
      </w:r>
    </w:p>
    <w:p>
      <w:pPr>
        <w:pStyle w:val="PolicyList"/>
        <w:keepLines/>
        <w:widowControl/>
        <w:numPr>
          <w:ilvl w:val="0"/>
          <w:numId w:val="44"/>
        </w:numPr>
        <w:ind w:left="540" w:hanging="270"/>
      </w:pPr>
      <w:r>
        <w:rPr>
          <w:rFonts w:ascii="Calibri" w:hAnsi="Calibri"/>
          <w:color w:val="0B2545"/>
          <w:sz w:val="22"/>
        </w:rPr>
        <w:t>Contain access, correct records or communications, support affected people, and document the decision to resume, change, or retire the use case.</w:t>
      </w:r>
    </w:p>
    <w:p>
      <w:pPr>
        <w:pStyle w:val="PolicyList"/>
        <w:keepLines/>
        <w:widowControl/>
        <w:numPr>
          <w:ilvl w:val="0"/>
          <w:numId w:val="44"/>
        </w:numPr>
        <w:ind w:left="540" w:hanging="270"/>
      </w:pPr>
      <w:r>
        <w:rPr>
          <w:rFonts w:ascii="Calibri" w:hAnsi="Calibri"/>
          <w:color w:val="0B2545"/>
          <w:sz w:val="22"/>
        </w:rPr>
        <w:t>Review the incident for policy, training, vendor, data, test, and control changes.</w:t>
      </w:r>
    </w:p>
    <w:p>
      <w:pPr>
        <w:pStyle w:val="Heading2"/>
        <w:keepNext/>
      </w:pPr>
      <w:r>
        <w:t>15. Records and monitoring</w:t>
      </w:r>
    </w:p>
    <w:p>
      <w:pPr/>
      <w:r>
        <w:rPr>
          <w:rFonts w:ascii="Calibri" w:hAnsi="Calibri"/>
          <w:color w:val="0B2545"/>
          <w:sz w:val="22"/>
        </w:rPr>
        <w:t>The policy owner will maintain an inventory of approved, rejected, paused, and retired AI use cases. The record must be proportionate to risk and include the purpose, owner, affected people, system, data, tier, approvals, tests, conditions, monitoring, incidents, and review dates.</w:t>
      </w:r>
    </w:p>
    <w:p>
      <w:pPr/>
      <w:r>
        <w:rPr>
          <w:rFonts w:ascii="Calibri" w:hAnsi="Calibri"/>
          <w:color w:val="0B2545"/>
          <w:sz w:val="22"/>
        </w:rPr>
        <w:t>Monitoring must cover the failure modes that matter for the use case, such as factual error, permission leakage, preference violations, harmful content, bias, inaccessible output, override rate, complaints, unsupported actions, security events, model or vendor changes, and staff workarounds. A named owner must have authority to pause the workflow when a threshold is crossed.</w:t>
      </w:r>
    </w:p>
    <w:p>
      <w:pPr>
        <w:pStyle w:val="Heading2"/>
        <w:keepNext/>
      </w:pPr>
      <w:r>
        <w:t>16. Roles and accountability</w:t>
      </w:r>
    </w:p>
    <w:tbl>
      <w:tblPr>
        <w:tblStyle w:val="TableGrid"/>
        <w:tblW w:type="dxa" w:w="9360"/>
        <w:jc w:val="left"/>
        <w:tblLayout w:type="fixed"/>
        <w:tblLook w:firstColumn="1" w:firstRow="1" w:lastColumn="0" w:lastRow="0" w:noHBand="0" w:noVBand="1" w:val="04A0"/>
        <w:tblInd w:w="120" w:type="dxa"/>
      </w:tblPr>
      <w:tblGrid>
        <w:gridCol w:w="2500"/>
        <w:gridCol w:w="6860"/>
      </w:tblGrid>
      <w:tr>
        <w:trPr>
          <w:tblHeader w:val="true"/>
        </w:trPr>
        <w:tc>
          <w:tcPr>
            <w:tcW w:type="dxa" w:w="2500"/>
            <w:shd w:fill="0B2545"/>
            <w:vAlign w:val="center"/>
            <w:tcMar>
              <w:top w:w="80" w:type="dxa"/>
              <w:bottom w:w="80" w:type="dxa"/>
              <w:start w:w="120" w:type="dxa"/>
              <w:end w:w="120" w:type="dxa"/>
            </w:tcMar>
          </w:tcPr>
          <w:p>
            <w:pPr>
              <w:spacing w:before="0" w:after="40" w:line="259" w:lineRule="auto"/>
            </w:pPr>
            <w:r>
              <w:rPr>
                <w:rFonts w:ascii="Calibri" w:hAnsi="Calibri"/>
                <w:b/>
                <w:color w:val="FFFFFF"/>
                <w:sz w:val="18"/>
              </w:rPr>
              <w:t>Role</w:t>
            </w:r>
          </w:p>
        </w:tc>
        <w:tc>
          <w:tcPr>
            <w:tcW w:type="dxa" w:w="6860"/>
            <w:shd w:fill="0B2545"/>
            <w:vAlign w:val="center"/>
            <w:tcMar>
              <w:top w:w="80" w:type="dxa"/>
              <w:bottom w:w="80" w:type="dxa"/>
              <w:start w:w="120" w:type="dxa"/>
              <w:end w:w="120" w:type="dxa"/>
            </w:tcMar>
          </w:tcPr>
          <w:p>
            <w:pPr>
              <w:spacing w:before="0" w:after="40" w:line="259" w:lineRule="auto"/>
            </w:pPr>
            <w:r>
              <w:rPr>
                <w:rFonts w:ascii="Calibri" w:hAnsi="Calibri"/>
                <w:b/>
                <w:color w:val="FFFFFF"/>
                <w:sz w:val="18"/>
              </w:rPr>
              <w:t>Accountability</w:t>
            </w:r>
          </w:p>
        </w:tc>
      </w:tr>
      <w:tr>
        <w:trPr>
          <w:cantSplit/>
        </w:trPr>
        <w:tc>
          <w:tcPr>
            <w:tcW w:type="dxa" w:w="2500"/>
            <w:shd w:fill="F4F7FB"/>
            <w:vAlign w:val="center"/>
            <w:tcMar>
              <w:top w:w="80" w:type="dxa"/>
              <w:bottom w:w="80" w:type="dxa"/>
              <w:start w:w="120" w:type="dxa"/>
              <w:end w:w="120" w:type="dxa"/>
            </w:tcMar>
          </w:tcPr>
          <w:p>
            <w:pPr>
              <w:spacing w:before="0" w:after="40" w:line="259" w:lineRule="auto"/>
            </w:pPr>
            <w:r>
              <w:rPr>
                <w:rFonts w:ascii="Calibri" w:hAnsi="Calibri"/>
                <w:b/>
                <w:color w:val="0B2545"/>
                <w:sz w:val="19"/>
              </w:rPr>
              <w:t>Board or governing body</w:t>
            </w:r>
          </w:p>
        </w:tc>
        <w:tc>
          <w:tcPr>
            <w:tcW w:type="dxa" w:w="6860"/>
            <w:shd w:fill="F4F7FB"/>
            <w:vAlign w:val="center"/>
            <w:tcMar>
              <w:top w:w="80" w:type="dxa"/>
              <w:bottom w:w="80" w:type="dxa"/>
              <w:start w:w="120" w:type="dxa"/>
              <w:end w:w="120" w:type="dxa"/>
            </w:tcMar>
          </w:tcPr>
          <w:p>
            <w:pPr>
              <w:spacing w:before="0" w:after="40" w:line="259" w:lineRule="auto"/>
            </w:pPr>
            <w:r>
              <w:rPr>
                <w:rFonts w:ascii="Calibri" w:hAnsi="Calibri"/>
                <w:b w:val="0"/>
                <w:color w:val="0B2545"/>
                <w:sz w:val="19"/>
              </w:rPr>
              <w:t>Sets risk appetite, approves this policy when required, and receives material incident and oversight reporting.</w:t>
            </w:r>
          </w:p>
        </w:tc>
      </w:tr>
      <w:tr>
        <w:trPr>
          <w:cantSplit/>
        </w:trPr>
        <w:tc>
          <w:tcPr>
            <w:tcW w:type="dxa" w:w="2500"/>
            <w:vAlign w:val="center"/>
            <w:tcMar>
              <w:top w:w="80" w:type="dxa"/>
              <w:bottom w:w="80" w:type="dxa"/>
              <w:start w:w="120" w:type="dxa"/>
              <w:end w:w="120" w:type="dxa"/>
            </w:tcMar>
          </w:tcPr>
          <w:p>
            <w:pPr>
              <w:spacing w:before="0" w:after="40" w:line="259" w:lineRule="auto"/>
            </w:pPr>
            <w:r>
              <w:rPr>
                <w:rFonts w:ascii="Calibri" w:hAnsi="Calibri"/>
                <w:b/>
                <w:color w:val="0B2545"/>
                <w:sz w:val="19"/>
              </w:rPr>
              <w:t>Executive sponsor</w:t>
            </w:r>
          </w:p>
        </w:tc>
        <w:tc>
          <w:tcPr>
            <w:tcW w:type="dxa" w:w="6860"/>
            <w:vAlign w:val="center"/>
            <w:tcMar>
              <w:top w:w="80" w:type="dxa"/>
              <w:bottom w:w="80" w:type="dxa"/>
              <w:start w:w="120" w:type="dxa"/>
              <w:end w:w="120" w:type="dxa"/>
            </w:tcMar>
          </w:tcPr>
          <w:p>
            <w:pPr>
              <w:spacing w:before="0" w:after="40" w:line="259" w:lineRule="auto"/>
            </w:pPr>
            <w:r>
              <w:rPr>
                <w:rFonts w:ascii="Calibri" w:hAnsi="Calibri"/>
                <w:b w:val="0"/>
                <w:color w:val="0B2545"/>
                <w:sz w:val="19"/>
              </w:rPr>
              <w:t>Owns organization-wide adoption, resolves cross-functional risk, and approves high-risk use when permitted.</w:t>
            </w:r>
          </w:p>
        </w:tc>
      </w:tr>
      <w:tr>
        <w:trPr>
          <w:cantSplit/>
        </w:trPr>
        <w:tc>
          <w:tcPr>
            <w:tcW w:type="dxa" w:w="2500"/>
            <w:shd w:fill="F4F7FB"/>
            <w:vAlign w:val="center"/>
            <w:tcMar>
              <w:top w:w="80" w:type="dxa"/>
              <w:bottom w:w="80" w:type="dxa"/>
              <w:start w:w="120" w:type="dxa"/>
              <w:end w:w="120" w:type="dxa"/>
            </w:tcMar>
          </w:tcPr>
          <w:p>
            <w:pPr>
              <w:spacing w:before="0" w:after="40" w:line="259" w:lineRule="auto"/>
            </w:pPr>
            <w:r>
              <w:rPr>
                <w:rFonts w:ascii="Calibri" w:hAnsi="Calibri"/>
                <w:b/>
                <w:color w:val="0B2545"/>
                <w:sz w:val="19"/>
              </w:rPr>
              <w:t>Policy owner</w:t>
            </w:r>
          </w:p>
        </w:tc>
        <w:tc>
          <w:tcPr>
            <w:tcW w:type="dxa" w:w="6860"/>
            <w:shd w:fill="F4F7FB"/>
            <w:vAlign w:val="center"/>
            <w:tcMar>
              <w:top w:w="80" w:type="dxa"/>
              <w:bottom w:w="80" w:type="dxa"/>
              <w:start w:w="120" w:type="dxa"/>
              <w:end w:w="120" w:type="dxa"/>
            </w:tcMar>
          </w:tcPr>
          <w:p>
            <w:pPr>
              <w:spacing w:before="0" w:after="40" w:line="259" w:lineRule="auto"/>
            </w:pPr>
            <w:r>
              <w:rPr>
                <w:rFonts w:ascii="Calibri" w:hAnsi="Calibri"/>
                <w:b w:val="0"/>
                <w:color w:val="0B2545"/>
                <w:sz w:val="19"/>
              </w:rPr>
              <w:t>Maintains the policy, use-case inventory, training, review cadence, and exception record.</w:t>
            </w:r>
          </w:p>
        </w:tc>
      </w:tr>
      <w:tr>
        <w:trPr>
          <w:cantSplit/>
        </w:trPr>
        <w:tc>
          <w:tcPr>
            <w:tcW w:type="dxa" w:w="2500"/>
            <w:vAlign w:val="center"/>
            <w:tcMar>
              <w:top w:w="80" w:type="dxa"/>
              <w:bottom w:w="80" w:type="dxa"/>
              <w:start w:w="120" w:type="dxa"/>
              <w:end w:w="120" w:type="dxa"/>
            </w:tcMar>
          </w:tcPr>
          <w:p>
            <w:pPr>
              <w:spacing w:before="0" w:after="40" w:line="259" w:lineRule="auto"/>
            </w:pPr>
            <w:r>
              <w:rPr>
                <w:rFonts w:ascii="Calibri" w:hAnsi="Calibri"/>
                <w:b/>
                <w:color w:val="0B2545"/>
                <w:sz w:val="19"/>
              </w:rPr>
              <w:t>Data and system owners</w:t>
            </w:r>
          </w:p>
        </w:tc>
        <w:tc>
          <w:tcPr>
            <w:tcW w:type="dxa" w:w="6860"/>
            <w:vAlign w:val="center"/>
            <w:tcMar>
              <w:top w:w="80" w:type="dxa"/>
              <w:bottom w:w="80" w:type="dxa"/>
              <w:start w:w="120" w:type="dxa"/>
              <w:end w:w="120" w:type="dxa"/>
            </w:tcMar>
          </w:tcPr>
          <w:p>
            <w:pPr>
              <w:spacing w:before="0" w:after="40" w:line="259" w:lineRule="auto"/>
            </w:pPr>
            <w:r>
              <w:rPr>
                <w:rFonts w:ascii="Calibri" w:hAnsi="Calibri"/>
                <w:b w:val="0"/>
                <w:color w:val="0B2545"/>
                <w:sz w:val="19"/>
              </w:rPr>
              <w:t>Approve data access, security, retention, integrations, vendor terms, and technical controls.</w:t>
            </w:r>
          </w:p>
        </w:tc>
      </w:tr>
      <w:tr>
        <w:trPr>
          <w:cantSplit/>
        </w:trPr>
        <w:tc>
          <w:tcPr>
            <w:tcW w:type="dxa" w:w="2500"/>
            <w:shd w:fill="F4F7FB"/>
            <w:vAlign w:val="center"/>
            <w:tcMar>
              <w:top w:w="80" w:type="dxa"/>
              <w:bottom w:w="80" w:type="dxa"/>
              <w:start w:w="120" w:type="dxa"/>
              <w:end w:w="120" w:type="dxa"/>
            </w:tcMar>
          </w:tcPr>
          <w:p>
            <w:pPr>
              <w:spacing w:before="0" w:after="40" w:line="259" w:lineRule="auto"/>
            </w:pPr>
            <w:r>
              <w:rPr>
                <w:rFonts w:ascii="Calibri" w:hAnsi="Calibri"/>
                <w:b/>
                <w:color w:val="0B2545"/>
                <w:sz w:val="19"/>
              </w:rPr>
              <w:t>Use-case owner</w:t>
            </w:r>
          </w:p>
        </w:tc>
        <w:tc>
          <w:tcPr>
            <w:tcW w:type="dxa" w:w="6860"/>
            <w:shd w:fill="F4F7FB"/>
            <w:vAlign w:val="center"/>
            <w:tcMar>
              <w:top w:w="80" w:type="dxa"/>
              <w:bottom w:w="80" w:type="dxa"/>
              <w:start w:w="120" w:type="dxa"/>
              <w:end w:w="120" w:type="dxa"/>
            </w:tcMar>
          </w:tcPr>
          <w:p>
            <w:pPr>
              <w:spacing w:before="0" w:after="40" w:line="259" w:lineRule="auto"/>
            </w:pPr>
            <w:r>
              <w:rPr>
                <w:rFonts w:ascii="Calibri" w:hAnsi="Calibri"/>
                <w:b w:val="0"/>
                <w:color w:val="0B2545"/>
                <w:sz w:val="19"/>
              </w:rPr>
              <w:t>Defines purpose, affected people, success and stop conditions, tests, reviewers, and monitoring.</w:t>
            </w:r>
          </w:p>
        </w:tc>
      </w:tr>
      <w:tr>
        <w:trPr>
          <w:cantSplit/>
        </w:trPr>
        <w:tc>
          <w:tcPr>
            <w:tcW w:type="dxa" w:w="2500"/>
            <w:vAlign w:val="center"/>
            <w:tcMar>
              <w:top w:w="80" w:type="dxa"/>
              <w:bottom w:w="80" w:type="dxa"/>
              <w:start w:w="120" w:type="dxa"/>
              <w:end w:w="120" w:type="dxa"/>
            </w:tcMar>
          </w:tcPr>
          <w:p>
            <w:pPr>
              <w:spacing w:before="0" w:after="40" w:line="259" w:lineRule="auto"/>
            </w:pPr>
            <w:r>
              <w:rPr>
                <w:rFonts w:ascii="Calibri" w:hAnsi="Calibri"/>
                <w:b/>
                <w:color w:val="0B2545"/>
                <w:sz w:val="19"/>
              </w:rPr>
              <w:t>Human reviewer</w:t>
            </w:r>
          </w:p>
        </w:tc>
        <w:tc>
          <w:tcPr>
            <w:tcW w:type="dxa" w:w="6860"/>
            <w:vAlign w:val="center"/>
            <w:tcMar>
              <w:top w:w="80" w:type="dxa"/>
              <w:bottom w:w="80" w:type="dxa"/>
              <w:start w:w="120" w:type="dxa"/>
              <w:end w:w="120" w:type="dxa"/>
            </w:tcMar>
          </w:tcPr>
          <w:p>
            <w:pPr>
              <w:spacing w:before="0" w:after="40" w:line="259" w:lineRule="auto"/>
            </w:pPr>
            <w:r>
              <w:rPr>
                <w:rFonts w:ascii="Calibri" w:hAnsi="Calibri"/>
                <w:b w:val="0"/>
                <w:color w:val="0B2545"/>
                <w:sz w:val="19"/>
              </w:rPr>
              <w:t>Checks source support, permissions, preferences, accuracy, dignity, and the consequences of an output or action.</w:t>
            </w:r>
          </w:p>
        </w:tc>
      </w:tr>
      <w:tr>
        <w:trPr>
          <w:cantSplit/>
        </w:trPr>
        <w:tc>
          <w:tcPr>
            <w:tcW w:type="dxa" w:w="2500"/>
            <w:shd w:fill="F4F7FB"/>
            <w:vAlign w:val="center"/>
            <w:tcMar>
              <w:top w:w="80" w:type="dxa"/>
              <w:bottom w:w="80" w:type="dxa"/>
              <w:start w:w="120" w:type="dxa"/>
              <w:end w:w="120" w:type="dxa"/>
            </w:tcMar>
          </w:tcPr>
          <w:p>
            <w:pPr>
              <w:spacing w:before="0" w:after="40" w:line="259" w:lineRule="auto"/>
            </w:pPr>
            <w:r>
              <w:rPr>
                <w:rFonts w:ascii="Calibri" w:hAnsi="Calibri"/>
                <w:b/>
                <w:color w:val="0B2545"/>
                <w:sz w:val="19"/>
              </w:rPr>
              <w:t>All workforce members</w:t>
            </w:r>
          </w:p>
        </w:tc>
        <w:tc>
          <w:tcPr>
            <w:tcW w:type="dxa" w:w="6860"/>
            <w:shd w:fill="F4F7FB"/>
            <w:vAlign w:val="center"/>
            <w:tcMar>
              <w:top w:w="80" w:type="dxa"/>
              <w:bottom w:w="80" w:type="dxa"/>
              <w:start w:w="120" w:type="dxa"/>
              <w:end w:w="120" w:type="dxa"/>
            </w:tcMar>
          </w:tcPr>
          <w:p>
            <w:pPr>
              <w:spacing w:before="0" w:after="40" w:line="259" w:lineRule="auto"/>
            </w:pPr>
            <w:r>
              <w:rPr>
                <w:rFonts w:ascii="Calibri" w:hAnsi="Calibri"/>
                <w:b w:val="0"/>
                <w:color w:val="0B2545"/>
                <w:sz w:val="19"/>
              </w:rPr>
              <w:t>Use only approved systems, follow this policy, protect data, disclose material problems, and stop unsafe work.</w:t>
            </w:r>
          </w:p>
        </w:tc>
      </w:tr>
    </w:tbl>
    <w:p>
      <w:pPr>
        <w:pStyle w:val="Heading2"/>
        <w:keepNext/>
      </w:pPr>
      <w:r>
        <w:t>17. Training</w:t>
      </w:r>
    </w:p>
    <w:p>
      <w:pPr/>
      <w:r>
        <w:rPr>
          <w:rFonts w:ascii="Calibri" w:hAnsi="Calibri"/>
          <w:color w:val="0B2545"/>
          <w:sz w:val="22"/>
        </w:rPr>
        <w:t>People must complete role-appropriate training before using organization data in an AI system or reviewing a material output. Training will cover approved tools, data rules, prompt and source handling, factual review, bias and dignity, disclosure, accessibility, security, incident reporting, and the limits of automation.</w:t>
      </w:r>
    </w:p>
    <w:p>
      <w:pPr/>
      <w:r>
        <w:rPr>
          <w:rFonts w:ascii="Calibri" w:hAnsi="Calibri"/>
          <w:color w:val="0B2545"/>
          <w:sz w:val="22"/>
        </w:rPr>
        <w:t>High-risk use-case owners, system administrators, and reviewers need additional training for the actual workflow, controls, tests, evidence, action boundary, and stop procedure.</w:t>
      </w:r>
    </w:p>
    <w:p>
      <w:pPr>
        <w:pStyle w:val="Heading2"/>
        <w:keepNext/>
      </w:pPr>
      <w:r>
        <w:t>18. Exceptions</w:t>
      </w:r>
    </w:p>
    <w:p>
      <w:pPr/>
      <w:r>
        <w:rPr>
          <w:rFonts w:ascii="Calibri" w:hAnsi="Calibri"/>
          <w:color w:val="0B2545"/>
          <w:sz w:val="22"/>
        </w:rPr>
        <w:t>An exception must be requested before the work begins and recorded by [policy owner]. The request must state the purpose, duration, data, system, affected people, risk, alternatives, safeguards, owner, and expiration date. [Approving role] may approve, reject, narrow, or revoke an exception. No exception may authorize unlawful, deceptive, coercive, discriminatory, or unauthorized use.</w:t>
      </w:r>
    </w:p>
    <w:p>
      <w:pPr>
        <w:pStyle w:val="Heading2"/>
        <w:keepNext/>
      </w:pPr>
      <w:r>
        <w:t>19. Review and enforcement</w:t>
      </w:r>
    </w:p>
    <w:p>
      <w:pPr/>
      <w:r>
        <w:rPr>
          <w:rFonts w:ascii="Calibri" w:hAnsi="Calibri"/>
          <w:color w:val="0B2545"/>
          <w:sz w:val="22"/>
        </w:rPr>
        <w:t>This policy will be reviewed at least annually and sooner after a material incident or change to law, risk, program, data, vendor, model, feature, integration, affected audience, or external-action scope. [Organization name] may suspend access or take corrective action when this policy is not followed, consistent with applicable agreements and employment or volunteer policies.</w:t>
      </w:r>
    </w:p>
    <w:p>
      <w:pPr>
        <w:pStyle w:val="Heading1"/>
        <w:keepNext/>
      </w:pPr>
      <w:r>
        <w:t>Adoption checklist</w:t>
      </w:r>
    </w:p>
    <w:p>
      <w:pPr>
        <w:pStyle w:val="PolicyList"/>
        <w:keepLines/>
        <w:widowControl/>
        <w:numPr>
          <w:ilvl w:val="0"/>
          <w:numId w:val="43"/>
        </w:numPr>
        <w:ind w:left="540" w:hanging="270"/>
      </w:pPr>
      <w:r>
        <w:rPr>
          <w:rFonts w:ascii="Calibri" w:hAnsi="Calibri"/>
          <w:color w:val="0B2545"/>
          <w:sz w:val="22"/>
        </w:rPr>
        <w:t>Replace every bracketed field and remove guidance that does not belong in the adopted policy.</w:t>
      </w:r>
    </w:p>
    <w:p>
      <w:pPr>
        <w:pStyle w:val="PolicyList"/>
        <w:keepLines/>
        <w:widowControl/>
        <w:numPr>
          <w:ilvl w:val="0"/>
          <w:numId w:val="43"/>
        </w:numPr>
        <w:ind w:left="540" w:hanging="270"/>
      </w:pPr>
      <w:r>
        <w:rPr>
          <w:rFonts w:ascii="Calibri" w:hAnsi="Calibri"/>
          <w:color w:val="0B2545"/>
          <w:sz w:val="22"/>
        </w:rPr>
        <w:t>Inventory current AI tools, embedded features, integrations, and informal staff use.</w:t>
      </w:r>
    </w:p>
    <w:p>
      <w:pPr>
        <w:pStyle w:val="PolicyList"/>
        <w:keepLines/>
        <w:widowControl/>
        <w:numPr>
          <w:ilvl w:val="0"/>
          <w:numId w:val="43"/>
        </w:numPr>
        <w:ind w:left="540" w:hanging="270"/>
      </w:pPr>
      <w:r>
        <w:rPr>
          <w:rFonts w:ascii="Calibri" w:hAnsi="Calibri"/>
          <w:color w:val="0B2545"/>
          <w:sz w:val="22"/>
        </w:rPr>
        <w:t>Map the policy to privacy, security, records, fundraising, safeguarding, employment, accessibility, intellectual property, and vendor rules.</w:t>
      </w:r>
    </w:p>
    <w:p>
      <w:pPr>
        <w:pStyle w:val="PolicyList"/>
        <w:keepLines/>
        <w:widowControl/>
        <w:numPr>
          <w:ilvl w:val="0"/>
          <w:numId w:val="43"/>
        </w:numPr>
        <w:ind w:left="540" w:hanging="270"/>
      </w:pPr>
      <w:r>
        <w:rPr>
          <w:rFonts w:ascii="Calibri" w:hAnsi="Calibri"/>
          <w:color w:val="0B2545"/>
          <w:sz w:val="22"/>
        </w:rPr>
        <w:t>Define approved tools, accounts, data classifications, risk tiers, approvers, and a human-review standard.</w:t>
      </w:r>
    </w:p>
    <w:p>
      <w:pPr>
        <w:pStyle w:val="PolicyList"/>
        <w:keepLines/>
        <w:widowControl/>
        <w:numPr>
          <w:ilvl w:val="0"/>
          <w:numId w:val="43"/>
        </w:numPr>
        <w:ind w:left="540" w:hanging="270"/>
      </w:pPr>
      <w:r>
        <w:rPr>
          <w:rFonts w:ascii="Calibri" w:hAnsi="Calibri"/>
          <w:color w:val="0B2545"/>
          <w:sz w:val="22"/>
        </w:rPr>
        <w:t>Create a use-case register and an incident-reporting path with named owners.</w:t>
      </w:r>
    </w:p>
    <w:p>
      <w:pPr>
        <w:pStyle w:val="PolicyList"/>
        <w:keepLines/>
        <w:widowControl/>
        <w:numPr>
          <w:ilvl w:val="0"/>
          <w:numId w:val="43"/>
        </w:numPr>
        <w:ind w:left="540" w:hanging="270"/>
      </w:pPr>
      <w:r>
        <w:rPr>
          <w:rFonts w:ascii="Calibri" w:hAnsi="Calibri"/>
          <w:color w:val="0B2545"/>
          <w:sz w:val="22"/>
        </w:rPr>
        <w:t>Test at least one difficult scenario for every moderate- and high-risk workflow before launch.</w:t>
      </w:r>
    </w:p>
    <w:p>
      <w:pPr>
        <w:pStyle w:val="PolicyList"/>
        <w:keepLines/>
        <w:widowControl/>
        <w:numPr>
          <w:ilvl w:val="0"/>
          <w:numId w:val="43"/>
        </w:numPr>
        <w:ind w:left="540" w:hanging="270"/>
      </w:pPr>
      <w:r>
        <w:rPr>
          <w:rFonts w:ascii="Calibri" w:hAnsi="Calibri"/>
          <w:color w:val="0B2545"/>
          <w:sz w:val="22"/>
        </w:rPr>
        <w:t>Train board, staff, contractors, interns, and volunteers for their actual responsibilities.</w:t>
      </w:r>
    </w:p>
    <w:p>
      <w:pPr>
        <w:pStyle w:val="PolicyList"/>
        <w:keepLines/>
        <w:widowControl/>
        <w:numPr>
          <w:ilvl w:val="0"/>
          <w:numId w:val="43"/>
        </w:numPr>
        <w:ind w:left="540" w:hanging="270"/>
      </w:pPr>
      <w:r>
        <w:rPr>
          <w:rFonts w:ascii="Calibri" w:hAnsi="Calibri"/>
          <w:color w:val="0B2545"/>
          <w:sz w:val="22"/>
        </w:rPr>
        <w:t>Approve and communicate the policy, then record its effective date and next review date.</w:t>
      </w:r>
    </w:p>
    <w:p>
      <w:pPr>
        <w:pStyle w:val="Heading1"/>
        <w:keepNext/>
      </w:pPr>
      <w:r>
        <w:t>Appendix A: AI use-case record</w:t>
      </w:r>
    </w:p>
    <w:p>
      <w:pPr/>
      <w:r>
        <w:rPr>
          <w:rFonts w:ascii="Calibri" w:hAnsi="Calibri"/>
          <w:color w:val="0B2545"/>
          <w:sz w:val="22"/>
        </w:rPr>
        <w:t>Complete one record for each proposed use. Expand the record when the risk, system, data, audience, integration, or action scope changes.</w:t>
      </w:r>
    </w:p>
    <w:tbl>
      <w:tblPr>
        <w:tblStyle w:val="TableGrid"/>
        <w:tblW w:type="dxa" w:w="9360"/>
        <w:jc w:val="left"/>
        <w:tblLayout w:type="fixed"/>
        <w:tblLook w:firstColumn="1" w:firstRow="1" w:lastColumn="0" w:lastRow="0" w:noHBand="0" w:noVBand="1" w:val="04A0"/>
        <w:tblInd w:w="120" w:type="dxa"/>
      </w:tblPr>
      <w:tblGrid>
        <w:gridCol w:w="2200"/>
        <w:gridCol w:w="7160"/>
      </w:tblGrid>
      <w:tr>
        <w:trPr>
          <w:tblHeader w:val="true"/>
        </w:trPr>
        <w:tc>
          <w:tcPr>
            <w:tcW w:type="dxa" w:w="2200"/>
            <w:shd w:fill="0B2545"/>
            <w:vAlign w:val="center"/>
            <w:tcMar>
              <w:top w:w="80" w:type="dxa"/>
              <w:bottom w:w="80" w:type="dxa"/>
              <w:start w:w="120" w:type="dxa"/>
              <w:end w:w="120" w:type="dxa"/>
            </w:tcMar>
          </w:tcPr>
          <w:p>
            <w:pPr>
              <w:spacing w:before="0" w:after="40" w:line="259" w:lineRule="auto"/>
            </w:pPr>
            <w:r>
              <w:rPr>
                <w:rFonts w:ascii="Calibri" w:hAnsi="Calibri"/>
                <w:b/>
                <w:color w:val="FFFFFF"/>
                <w:sz w:val="18"/>
              </w:rPr>
              <w:t>Field</w:t>
            </w:r>
          </w:p>
        </w:tc>
        <w:tc>
          <w:tcPr>
            <w:tcW w:type="dxa" w:w="7160"/>
            <w:shd w:fill="0B2545"/>
            <w:vAlign w:val="center"/>
            <w:tcMar>
              <w:top w:w="80" w:type="dxa"/>
              <w:bottom w:w="80" w:type="dxa"/>
              <w:start w:w="120" w:type="dxa"/>
              <w:end w:w="120" w:type="dxa"/>
            </w:tcMar>
          </w:tcPr>
          <w:p>
            <w:pPr>
              <w:spacing w:before="0" w:after="40" w:line="259" w:lineRule="auto"/>
            </w:pPr>
            <w:r>
              <w:rPr>
                <w:rFonts w:ascii="Calibri" w:hAnsi="Calibri"/>
                <w:b/>
                <w:color w:val="FFFFFF"/>
                <w:sz w:val="18"/>
              </w:rPr>
              <w:t>Record</w:t>
            </w:r>
          </w:p>
        </w:tc>
      </w:tr>
      <w:tr>
        <w:trPr>
          <w:cantSplit/>
        </w:trPr>
        <w:tc>
          <w:tcPr>
            <w:tcW w:type="dxa" w:w="2200"/>
            <w:shd w:fill="F4F7FB"/>
            <w:vAlign w:val="center"/>
            <w:tcMar>
              <w:top w:w="80" w:type="dxa"/>
              <w:bottom w:w="80" w:type="dxa"/>
              <w:start w:w="120" w:type="dxa"/>
              <w:end w:w="120" w:type="dxa"/>
            </w:tcMar>
          </w:tcPr>
          <w:p>
            <w:pPr>
              <w:spacing w:before="0" w:after="40" w:line="259" w:lineRule="auto"/>
            </w:pPr>
            <w:r>
              <w:rPr>
                <w:rFonts w:ascii="Calibri" w:hAnsi="Calibri"/>
                <w:b/>
                <w:color w:val="0B2545"/>
                <w:sz w:val="19"/>
              </w:rPr>
              <w:t>Use case and owner</w:t>
            </w:r>
          </w:p>
        </w:tc>
        <w:tc>
          <w:tcPr>
            <w:tcW w:type="dxa" w:w="7160"/>
            <w:shd w:fill="F4F7FB"/>
            <w:vAlign w:val="center"/>
            <w:tcMar>
              <w:top w:w="80" w:type="dxa"/>
              <w:bottom w:w="80" w:type="dxa"/>
              <w:start w:w="120" w:type="dxa"/>
              <w:end w:w="120" w:type="dxa"/>
            </w:tcMar>
          </w:tcPr>
          <w:p>
            <w:pPr>
              <w:spacing w:before="0" w:after="40" w:line="259" w:lineRule="auto"/>
            </w:pPr>
            <w:r>
              <w:rPr>
                <w:rFonts w:ascii="Calibri" w:hAnsi="Calibri"/>
                <w:b w:val="0"/>
                <w:color w:val="0B2545"/>
                <w:sz w:val="19"/>
              </w:rPr>
              <w:t>[Name the workflow and accountable person]</w:t>
            </w:r>
          </w:p>
        </w:tc>
      </w:tr>
      <w:tr>
        <w:trPr>
          <w:cantSplit/>
        </w:trPr>
        <w:tc>
          <w:tcPr>
            <w:tcW w:type="dxa" w:w="2200"/>
            <w:vAlign w:val="center"/>
            <w:tcMar>
              <w:top w:w="80" w:type="dxa"/>
              <w:bottom w:w="80" w:type="dxa"/>
              <w:start w:w="120" w:type="dxa"/>
              <w:end w:w="120" w:type="dxa"/>
            </w:tcMar>
          </w:tcPr>
          <w:p>
            <w:pPr>
              <w:spacing w:before="0" w:after="40" w:line="259" w:lineRule="auto"/>
            </w:pPr>
            <w:r>
              <w:rPr>
                <w:rFonts w:ascii="Calibri" w:hAnsi="Calibri"/>
                <w:b/>
                <w:color w:val="0B2545"/>
                <w:sz w:val="19"/>
              </w:rPr>
              <w:t>Purpose and benefit</w:t>
            </w:r>
          </w:p>
        </w:tc>
        <w:tc>
          <w:tcPr>
            <w:tcW w:type="dxa" w:w="7160"/>
            <w:vAlign w:val="center"/>
            <w:tcMar>
              <w:top w:w="80" w:type="dxa"/>
              <w:bottom w:w="80" w:type="dxa"/>
              <w:start w:w="120" w:type="dxa"/>
              <w:end w:w="120" w:type="dxa"/>
            </w:tcMar>
          </w:tcPr>
          <w:p>
            <w:pPr>
              <w:spacing w:before="0" w:after="40" w:line="259" w:lineRule="auto"/>
            </w:pPr>
            <w:r>
              <w:rPr>
                <w:rFonts w:ascii="Calibri" w:hAnsi="Calibri"/>
                <w:b w:val="0"/>
                <w:color w:val="0B2545"/>
                <w:sz w:val="19"/>
              </w:rPr>
              <w:t>[State the job, intended benefit, and who benefits]</w:t>
            </w:r>
          </w:p>
        </w:tc>
      </w:tr>
      <w:tr>
        <w:trPr>
          <w:cantSplit/>
        </w:trPr>
        <w:tc>
          <w:tcPr>
            <w:tcW w:type="dxa" w:w="2200"/>
            <w:shd w:fill="F4F7FB"/>
            <w:vAlign w:val="center"/>
            <w:tcMar>
              <w:top w:w="80" w:type="dxa"/>
              <w:bottom w:w="80" w:type="dxa"/>
              <w:start w:w="120" w:type="dxa"/>
              <w:end w:w="120" w:type="dxa"/>
            </w:tcMar>
          </w:tcPr>
          <w:p>
            <w:pPr>
              <w:spacing w:before="0" w:after="40" w:line="259" w:lineRule="auto"/>
            </w:pPr>
            <w:r>
              <w:rPr>
                <w:rFonts w:ascii="Calibri" w:hAnsi="Calibri"/>
                <w:b/>
                <w:color w:val="0B2545"/>
                <w:sz w:val="19"/>
              </w:rPr>
              <w:t>Affected people</w:t>
            </w:r>
          </w:p>
        </w:tc>
        <w:tc>
          <w:tcPr>
            <w:tcW w:type="dxa" w:w="7160"/>
            <w:shd w:fill="F4F7FB"/>
            <w:vAlign w:val="center"/>
            <w:tcMar>
              <w:top w:w="80" w:type="dxa"/>
              <w:bottom w:w="80" w:type="dxa"/>
              <w:start w:w="120" w:type="dxa"/>
              <w:end w:w="120" w:type="dxa"/>
            </w:tcMar>
          </w:tcPr>
          <w:p>
            <w:pPr>
              <w:spacing w:before="0" w:after="40" w:line="259" w:lineRule="auto"/>
            </w:pPr>
            <w:r>
              <w:rPr>
                <w:rFonts w:ascii="Calibri" w:hAnsi="Calibri"/>
                <w:b w:val="0"/>
                <w:color w:val="0B2545"/>
                <w:sz w:val="19"/>
              </w:rPr>
              <w:t>[Donors, beneficiaries, volunteers, staff, partners, or public]</w:t>
            </w:r>
          </w:p>
        </w:tc>
      </w:tr>
      <w:tr>
        <w:trPr>
          <w:cantSplit/>
        </w:trPr>
        <w:tc>
          <w:tcPr>
            <w:tcW w:type="dxa" w:w="2200"/>
            <w:vAlign w:val="center"/>
            <w:tcMar>
              <w:top w:w="80" w:type="dxa"/>
              <w:bottom w:w="80" w:type="dxa"/>
              <w:start w:w="120" w:type="dxa"/>
              <w:end w:w="120" w:type="dxa"/>
            </w:tcMar>
          </w:tcPr>
          <w:p>
            <w:pPr>
              <w:spacing w:before="0" w:after="40" w:line="259" w:lineRule="auto"/>
            </w:pPr>
            <w:r>
              <w:rPr>
                <w:rFonts w:ascii="Calibri" w:hAnsi="Calibri"/>
                <w:b/>
                <w:color w:val="0B2545"/>
                <w:sz w:val="19"/>
              </w:rPr>
              <w:t>System and vendor</w:t>
            </w:r>
          </w:p>
        </w:tc>
        <w:tc>
          <w:tcPr>
            <w:tcW w:type="dxa" w:w="7160"/>
            <w:vAlign w:val="center"/>
            <w:tcMar>
              <w:top w:w="80" w:type="dxa"/>
              <w:bottom w:w="80" w:type="dxa"/>
              <w:start w:w="120" w:type="dxa"/>
              <w:end w:w="120" w:type="dxa"/>
            </w:tcMar>
          </w:tcPr>
          <w:p>
            <w:pPr>
              <w:spacing w:before="0" w:after="40" w:line="259" w:lineRule="auto"/>
            </w:pPr>
            <w:r>
              <w:rPr>
                <w:rFonts w:ascii="Calibri" w:hAnsi="Calibri"/>
                <w:b w:val="0"/>
                <w:color w:val="0B2545"/>
                <w:sz w:val="19"/>
              </w:rPr>
              <w:t>[Tool, model, version if known, provider, and connected systems]</w:t>
            </w:r>
          </w:p>
        </w:tc>
      </w:tr>
      <w:tr>
        <w:trPr>
          <w:cantSplit/>
        </w:trPr>
        <w:tc>
          <w:tcPr>
            <w:tcW w:type="dxa" w:w="2200"/>
            <w:shd w:fill="F4F7FB"/>
            <w:vAlign w:val="center"/>
            <w:tcMar>
              <w:top w:w="80" w:type="dxa"/>
              <w:bottom w:w="80" w:type="dxa"/>
              <w:start w:w="120" w:type="dxa"/>
              <w:end w:w="120" w:type="dxa"/>
            </w:tcMar>
          </w:tcPr>
          <w:p>
            <w:pPr>
              <w:spacing w:before="0" w:after="40" w:line="259" w:lineRule="auto"/>
            </w:pPr>
            <w:r>
              <w:rPr>
                <w:rFonts w:ascii="Calibri" w:hAnsi="Calibri"/>
                <w:b/>
                <w:color w:val="0B2545"/>
                <w:sz w:val="19"/>
              </w:rPr>
              <w:t>Data</w:t>
            </w:r>
          </w:p>
        </w:tc>
        <w:tc>
          <w:tcPr>
            <w:tcW w:type="dxa" w:w="7160"/>
            <w:shd w:fill="F4F7FB"/>
            <w:vAlign w:val="center"/>
            <w:tcMar>
              <w:top w:w="80" w:type="dxa"/>
              <w:bottom w:w="80" w:type="dxa"/>
              <w:start w:w="120" w:type="dxa"/>
              <w:end w:w="120" w:type="dxa"/>
            </w:tcMar>
          </w:tcPr>
          <w:p>
            <w:pPr>
              <w:spacing w:before="0" w:after="40" w:line="259" w:lineRule="auto"/>
            </w:pPr>
            <w:r>
              <w:rPr>
                <w:rFonts w:ascii="Calibri" w:hAnsi="Calibri"/>
                <w:b w:val="0"/>
                <w:color w:val="0B2545"/>
                <w:sz w:val="19"/>
              </w:rPr>
              <w:t>[Sources, classifications, permissions, retention, and prohibited data]</w:t>
            </w:r>
          </w:p>
        </w:tc>
      </w:tr>
      <w:tr>
        <w:trPr>
          <w:cantSplit/>
        </w:trPr>
        <w:tc>
          <w:tcPr>
            <w:tcW w:type="dxa" w:w="2200"/>
            <w:vAlign w:val="center"/>
            <w:tcMar>
              <w:top w:w="80" w:type="dxa"/>
              <w:bottom w:w="80" w:type="dxa"/>
              <w:start w:w="120" w:type="dxa"/>
              <w:end w:w="120" w:type="dxa"/>
            </w:tcMar>
          </w:tcPr>
          <w:p>
            <w:pPr>
              <w:spacing w:before="0" w:after="40" w:line="259" w:lineRule="auto"/>
            </w:pPr>
            <w:r>
              <w:rPr>
                <w:rFonts w:ascii="Calibri" w:hAnsi="Calibri"/>
                <w:b/>
                <w:color w:val="0B2545"/>
                <w:sz w:val="19"/>
              </w:rPr>
              <w:t>Output or action</w:t>
            </w:r>
          </w:p>
        </w:tc>
        <w:tc>
          <w:tcPr>
            <w:tcW w:type="dxa" w:w="7160"/>
            <w:vAlign w:val="center"/>
            <w:tcMar>
              <w:top w:w="80" w:type="dxa"/>
              <w:bottom w:w="80" w:type="dxa"/>
              <w:start w:w="120" w:type="dxa"/>
              <w:end w:w="120" w:type="dxa"/>
            </w:tcMar>
          </w:tcPr>
          <w:p>
            <w:pPr>
              <w:spacing w:before="0" w:after="40" w:line="259" w:lineRule="auto"/>
            </w:pPr>
            <w:r>
              <w:rPr>
                <w:rFonts w:ascii="Calibri" w:hAnsi="Calibri"/>
                <w:b w:val="0"/>
                <w:color w:val="0B2545"/>
                <w:sz w:val="19"/>
              </w:rPr>
              <w:t>[Draft, recommendation, classification, communication, decision, or external action]</w:t>
            </w:r>
          </w:p>
        </w:tc>
      </w:tr>
      <w:tr>
        <w:trPr>
          <w:cantSplit/>
        </w:trPr>
        <w:tc>
          <w:tcPr>
            <w:tcW w:type="dxa" w:w="2200"/>
            <w:shd w:fill="F4F7FB"/>
            <w:vAlign w:val="center"/>
            <w:tcMar>
              <w:top w:w="80" w:type="dxa"/>
              <w:bottom w:w="80" w:type="dxa"/>
              <w:start w:w="120" w:type="dxa"/>
              <w:end w:w="120" w:type="dxa"/>
            </w:tcMar>
          </w:tcPr>
          <w:p>
            <w:pPr>
              <w:spacing w:before="0" w:after="40" w:line="259" w:lineRule="auto"/>
            </w:pPr>
            <w:r>
              <w:rPr>
                <w:rFonts w:ascii="Calibri" w:hAnsi="Calibri"/>
                <w:b/>
                <w:color w:val="0B2545"/>
                <w:sz w:val="19"/>
              </w:rPr>
              <w:t>Risk tier</w:t>
            </w:r>
          </w:p>
        </w:tc>
        <w:tc>
          <w:tcPr>
            <w:tcW w:type="dxa" w:w="7160"/>
            <w:shd w:fill="F4F7FB"/>
            <w:vAlign w:val="center"/>
            <w:tcMar>
              <w:top w:w="80" w:type="dxa"/>
              <w:bottom w:w="80" w:type="dxa"/>
              <w:start w:w="120" w:type="dxa"/>
              <w:end w:w="120" w:type="dxa"/>
            </w:tcMar>
          </w:tcPr>
          <w:p>
            <w:pPr>
              <w:spacing w:before="0" w:after="40" w:line="259" w:lineRule="auto"/>
            </w:pPr>
            <w:r>
              <w:rPr>
                <w:rFonts w:ascii="Calibri" w:hAnsi="Calibri"/>
                <w:b w:val="0"/>
                <w:color w:val="0B2545"/>
                <w:sz w:val="19"/>
              </w:rPr>
              <w:t>[Low, moderate, high, or prohibited]</w:t>
            </w:r>
          </w:p>
        </w:tc>
      </w:tr>
      <w:tr>
        <w:trPr>
          <w:cantSplit/>
        </w:trPr>
        <w:tc>
          <w:tcPr>
            <w:tcW w:type="dxa" w:w="2200"/>
            <w:vAlign w:val="center"/>
            <w:tcMar>
              <w:top w:w="80" w:type="dxa"/>
              <w:bottom w:w="80" w:type="dxa"/>
              <w:start w:w="120" w:type="dxa"/>
              <w:end w:w="120" w:type="dxa"/>
            </w:tcMar>
          </w:tcPr>
          <w:p>
            <w:pPr>
              <w:spacing w:before="0" w:after="40" w:line="259" w:lineRule="auto"/>
            </w:pPr>
            <w:r>
              <w:rPr>
                <w:rFonts w:ascii="Calibri" w:hAnsi="Calibri"/>
                <w:b/>
                <w:color w:val="0B2545"/>
                <w:sz w:val="19"/>
              </w:rPr>
              <w:t>Human review</w:t>
            </w:r>
          </w:p>
        </w:tc>
        <w:tc>
          <w:tcPr>
            <w:tcW w:type="dxa" w:w="7160"/>
            <w:vAlign w:val="center"/>
            <w:tcMar>
              <w:top w:w="80" w:type="dxa"/>
              <w:bottom w:w="80" w:type="dxa"/>
              <w:start w:w="120" w:type="dxa"/>
              <w:end w:w="120" w:type="dxa"/>
            </w:tcMar>
          </w:tcPr>
          <w:p>
            <w:pPr>
              <w:spacing w:before="0" w:after="40" w:line="259" w:lineRule="auto"/>
            </w:pPr>
            <w:r>
              <w:rPr>
                <w:rFonts w:ascii="Calibri" w:hAnsi="Calibri"/>
                <w:b w:val="0"/>
                <w:color w:val="0B2545"/>
                <w:sz w:val="19"/>
              </w:rPr>
              <w:t>[Reviewer, criteria, authority to reject, and escalation path]</w:t>
            </w:r>
          </w:p>
        </w:tc>
      </w:tr>
      <w:tr>
        <w:trPr>
          <w:cantSplit/>
        </w:trPr>
        <w:tc>
          <w:tcPr>
            <w:tcW w:type="dxa" w:w="2200"/>
            <w:shd w:fill="F4F7FB"/>
            <w:vAlign w:val="center"/>
            <w:tcMar>
              <w:top w:w="80" w:type="dxa"/>
              <w:bottom w:w="80" w:type="dxa"/>
              <w:start w:w="120" w:type="dxa"/>
              <w:end w:w="120" w:type="dxa"/>
            </w:tcMar>
          </w:tcPr>
          <w:p>
            <w:pPr>
              <w:spacing w:before="0" w:after="40" w:line="259" w:lineRule="auto"/>
            </w:pPr>
            <w:r>
              <w:rPr>
                <w:rFonts w:ascii="Calibri" w:hAnsi="Calibri"/>
                <w:b/>
                <w:color w:val="0B2545"/>
                <w:sz w:val="19"/>
              </w:rPr>
              <w:t>Tests and evidence</w:t>
            </w:r>
          </w:p>
        </w:tc>
        <w:tc>
          <w:tcPr>
            <w:tcW w:type="dxa" w:w="7160"/>
            <w:shd w:fill="F4F7FB"/>
            <w:vAlign w:val="center"/>
            <w:tcMar>
              <w:top w:w="80" w:type="dxa"/>
              <w:bottom w:w="80" w:type="dxa"/>
              <w:start w:w="120" w:type="dxa"/>
              <w:end w:w="120" w:type="dxa"/>
            </w:tcMar>
          </w:tcPr>
          <w:p>
            <w:pPr>
              <w:spacing w:before="0" w:after="40" w:line="259" w:lineRule="auto"/>
            </w:pPr>
            <w:r>
              <w:rPr>
                <w:rFonts w:ascii="Calibri" w:hAnsi="Calibri"/>
                <w:b w:val="0"/>
                <w:color w:val="0B2545"/>
                <w:sz w:val="19"/>
              </w:rPr>
              <w:t>[Hard paths, results, accepted evidence, and unresolved gaps]</w:t>
            </w:r>
          </w:p>
        </w:tc>
      </w:tr>
      <w:tr>
        <w:trPr>
          <w:cantSplit/>
        </w:trPr>
        <w:tc>
          <w:tcPr>
            <w:tcW w:type="dxa" w:w="2200"/>
            <w:vAlign w:val="center"/>
            <w:tcMar>
              <w:top w:w="80" w:type="dxa"/>
              <w:bottom w:w="80" w:type="dxa"/>
              <w:start w:w="120" w:type="dxa"/>
              <w:end w:w="120" w:type="dxa"/>
            </w:tcMar>
          </w:tcPr>
          <w:p>
            <w:pPr>
              <w:spacing w:before="0" w:after="40" w:line="259" w:lineRule="auto"/>
            </w:pPr>
            <w:r>
              <w:rPr>
                <w:rFonts w:ascii="Calibri" w:hAnsi="Calibri"/>
                <w:b/>
                <w:color w:val="0B2545"/>
                <w:sz w:val="19"/>
              </w:rPr>
              <w:t>Decision</w:t>
            </w:r>
          </w:p>
        </w:tc>
        <w:tc>
          <w:tcPr>
            <w:tcW w:type="dxa" w:w="7160"/>
            <w:vAlign w:val="center"/>
            <w:tcMar>
              <w:top w:w="80" w:type="dxa"/>
              <w:bottom w:w="80" w:type="dxa"/>
              <w:start w:w="120" w:type="dxa"/>
              <w:end w:w="120" w:type="dxa"/>
            </w:tcMar>
          </w:tcPr>
          <w:p>
            <w:pPr>
              <w:spacing w:before="0" w:after="40" w:line="259" w:lineRule="auto"/>
            </w:pPr>
            <w:r>
              <w:rPr>
                <w:rFonts w:ascii="Calibri" w:hAnsi="Calibri"/>
                <w:b w:val="0"/>
                <w:color w:val="0B2545"/>
                <w:sz w:val="19"/>
              </w:rPr>
              <w:t>[Approved, approved with conditions, rejected, or paused]</w:t>
            </w:r>
          </w:p>
        </w:tc>
      </w:tr>
      <w:tr>
        <w:trPr>
          <w:cantSplit/>
        </w:trPr>
        <w:tc>
          <w:tcPr>
            <w:tcW w:type="dxa" w:w="2200"/>
            <w:shd w:fill="F4F7FB"/>
            <w:vAlign w:val="center"/>
            <w:tcMar>
              <w:top w:w="80" w:type="dxa"/>
              <w:bottom w:w="80" w:type="dxa"/>
              <w:start w:w="120" w:type="dxa"/>
              <w:end w:w="120" w:type="dxa"/>
            </w:tcMar>
          </w:tcPr>
          <w:p>
            <w:pPr>
              <w:spacing w:before="0" w:after="40" w:line="259" w:lineRule="auto"/>
            </w:pPr>
            <w:r>
              <w:rPr>
                <w:rFonts w:ascii="Calibri" w:hAnsi="Calibri"/>
                <w:b/>
                <w:color w:val="0B2545"/>
                <w:sz w:val="19"/>
              </w:rPr>
              <w:t>Monitoring</w:t>
            </w:r>
          </w:p>
        </w:tc>
        <w:tc>
          <w:tcPr>
            <w:tcW w:type="dxa" w:w="7160"/>
            <w:shd w:fill="F4F7FB"/>
            <w:vAlign w:val="center"/>
            <w:tcMar>
              <w:top w:w="80" w:type="dxa"/>
              <w:bottom w:w="80" w:type="dxa"/>
              <w:start w:w="120" w:type="dxa"/>
              <w:end w:w="120" w:type="dxa"/>
            </w:tcMar>
          </w:tcPr>
          <w:p>
            <w:pPr>
              <w:spacing w:before="0" w:after="40" w:line="259" w:lineRule="auto"/>
            </w:pPr>
            <w:r>
              <w:rPr>
                <w:rFonts w:ascii="Calibri" w:hAnsi="Calibri"/>
                <w:b w:val="0"/>
                <w:color w:val="0B2545"/>
                <w:sz w:val="19"/>
              </w:rPr>
              <w:t>[Measures, thresholds, owner, incident signal, and stop condition]</w:t>
            </w:r>
          </w:p>
        </w:tc>
      </w:tr>
      <w:tr>
        <w:trPr>
          <w:cantSplit/>
        </w:trPr>
        <w:tc>
          <w:tcPr>
            <w:tcW w:type="dxa" w:w="2200"/>
            <w:vAlign w:val="center"/>
            <w:tcMar>
              <w:top w:w="80" w:type="dxa"/>
              <w:bottom w:w="80" w:type="dxa"/>
              <w:start w:w="120" w:type="dxa"/>
              <w:end w:w="120" w:type="dxa"/>
            </w:tcMar>
          </w:tcPr>
          <w:p>
            <w:pPr>
              <w:spacing w:before="0" w:after="40" w:line="259" w:lineRule="auto"/>
            </w:pPr>
            <w:r>
              <w:rPr>
                <w:rFonts w:ascii="Calibri" w:hAnsi="Calibri"/>
                <w:b/>
                <w:color w:val="0B2545"/>
                <w:sz w:val="19"/>
              </w:rPr>
              <w:t>Dates</w:t>
            </w:r>
          </w:p>
        </w:tc>
        <w:tc>
          <w:tcPr>
            <w:tcW w:type="dxa" w:w="7160"/>
            <w:vAlign w:val="center"/>
            <w:tcMar>
              <w:top w:w="80" w:type="dxa"/>
              <w:bottom w:w="80" w:type="dxa"/>
              <w:start w:w="120" w:type="dxa"/>
              <w:end w:w="120" w:type="dxa"/>
            </w:tcMar>
          </w:tcPr>
          <w:p>
            <w:pPr>
              <w:spacing w:before="0" w:after="40" w:line="259" w:lineRule="auto"/>
            </w:pPr>
            <w:r>
              <w:rPr>
                <w:rFonts w:ascii="Calibri" w:hAnsi="Calibri"/>
                <w:b w:val="0"/>
                <w:color w:val="0B2545"/>
                <w:sz w:val="19"/>
              </w:rPr>
              <w:t>[Approval, launch, next review, and retirement if applicable]</w:t>
            </w:r>
          </w:p>
        </w:tc>
      </w:tr>
    </w:tbl>
    <w:p>
      <w:pPr>
        <w:pStyle w:val="Heading1"/>
        <w:keepNext/>
      </w:pPr>
      <w:r>
        <w:t>Appendix B: Sources used to shape this template</w:t>
      </w:r>
    </w:p>
    <w:p>
      <w:pPr/>
      <w:r>
        <w:rPr>
          <w:rFonts w:ascii="Calibri" w:hAnsi="Calibri"/>
          <w:color w:val="0B2545"/>
          <w:sz w:val="22"/>
        </w:rPr>
        <w:t>These sources provide risk-management and nonprofit context. They do not replace advice for your organization, jurisdiction, programs, or data.</w:t>
      </w:r>
    </w:p>
    <w:p>
      <w:pPr>
        <w:pStyle w:val="PolicyList"/>
        <w:numPr>
          <w:ilvl w:val="0"/>
          <w:numId w:val="41"/>
        </w:numPr>
      </w:pPr>
      <w:hyperlink r:id="rId19">
        <w:r>
          <w:rPr>
            <w:color w:val="2E74B5"/>
            <w:u w:val="single"/>
          </w:rPr>
          <w:t>NIST AI Risk Management Framework</w:t>
        </w:r>
      </w:hyperlink>
      <w:r>
        <w:rPr>
          <w:rFonts w:ascii="Calibri" w:hAnsi="Calibri"/>
          <w:color w:val="0B2545"/>
          <w:sz w:val="21"/>
        </w:rPr>
        <w:t>. Used for governance, mapping, measurement, and management of AI risk.</w:t>
      </w:r>
    </w:p>
    <w:p>
      <w:pPr>
        <w:pStyle w:val="PolicyList"/>
        <w:numPr>
          <w:ilvl w:val="0"/>
          <w:numId w:val="41"/>
        </w:numPr>
      </w:pPr>
      <w:hyperlink r:id="rId20">
        <w:r>
          <w:rPr>
            <w:color w:val="2E74B5"/>
            <w:u w:val="single"/>
          </w:rPr>
          <w:t>NIST Generative AI Profile</w:t>
        </w:r>
      </w:hyperlink>
      <w:r>
        <w:rPr>
          <w:rFonts w:ascii="Calibri" w:hAnsi="Calibri"/>
          <w:color w:val="0B2545"/>
          <w:sz w:val="21"/>
        </w:rPr>
        <w:t>. Used for generative-AI risk, provenance, testing, incident disclosure, and monitoring.</w:t>
      </w:r>
    </w:p>
    <w:p>
      <w:pPr>
        <w:pStyle w:val="PolicyList"/>
        <w:numPr>
          <w:ilvl w:val="0"/>
          <w:numId w:val="41"/>
        </w:numPr>
      </w:pPr>
      <w:hyperlink r:id="rId21">
        <w:r>
          <w:rPr>
            <w:color w:val="2E74B5"/>
            <w:u w:val="single"/>
          </w:rPr>
          <w:t>NTEN and ANB Advisory AI Policy Template</w:t>
        </w:r>
      </w:hyperlink>
      <w:r>
        <w:rPr>
          <w:rFonts w:ascii="Calibri" w:hAnsi="Calibri"/>
          <w:color w:val="0B2545"/>
          <w:sz w:val="21"/>
        </w:rPr>
        <w:t>. Used for nonprofit policy structure, cross-functional ownership, and organizational tailoring.</w:t>
      </w:r>
    </w:p>
    <w:p>
      <w:pPr>
        <w:pStyle w:val="PolicyList"/>
        <w:numPr>
          <w:ilvl w:val="0"/>
          <w:numId w:val="41"/>
        </w:numPr>
      </w:pPr>
      <w:hyperlink r:id="rId22">
        <w:r>
          <w:rPr>
            <w:color w:val="2E74B5"/>
            <w:u w:val="single"/>
          </w:rPr>
          <w:t>Fundraising.AI Responsible AI Framework</w:t>
        </w:r>
      </w:hyperlink>
      <w:r>
        <w:rPr>
          <w:rFonts w:ascii="Calibri" w:hAnsi="Calibri"/>
          <w:color w:val="0B2545"/>
          <w:sz w:val="21"/>
        </w:rPr>
        <w:t>. Used for fundraising privacy, consent, dignity, accountability, human review, and public trust.</w:t>
      </w:r>
    </w:p>
    <w:p>
      <w:pPr>
        <w:pStyle w:val="PolicyList"/>
        <w:numPr>
          <w:ilvl w:val="0"/>
          <w:numId w:val="41"/>
        </w:numPr>
      </w:pPr>
      <w:hyperlink r:id="rId23">
        <w:r>
          <w:rPr>
            <w:color w:val="2E74B5"/>
            <w:u w:val="single"/>
          </w:rPr>
          <w:t>GlobalGiving responsible AI use policy guidance</w:t>
        </w:r>
      </w:hyperlink>
      <w:r>
        <w:rPr>
          <w:rFonts w:ascii="Calibri" w:hAnsi="Calibri"/>
          <w:color w:val="0B2545"/>
          <w:sz w:val="21"/>
        </w:rPr>
        <w:t>. Used for nonprofit privacy, bias, human oversight, vendor review, training, and consent.</w:t>
      </w:r>
    </w:p>
    <w:p>
      <w:pPr>
        <w:pStyle w:val="PolicyList"/>
        <w:numPr>
          <w:ilvl w:val="0"/>
          <w:numId w:val="41"/>
        </w:numPr>
      </w:pPr>
      <w:hyperlink r:id="rId24">
        <w:r>
          <w:rPr>
            <w:color w:val="2E74B5"/>
            <w:u w:val="single"/>
          </w:rPr>
          <w:t>Candid guidance on responsible AI policies for nonprofits</w:t>
        </w:r>
      </w:hyperlink>
      <w:r>
        <w:rPr>
          <w:rFonts w:ascii="Calibri" w:hAnsi="Calibri"/>
          <w:color w:val="0B2545"/>
          <w:sz w:val="21"/>
        </w:rPr>
        <w:t>. Used for nonprofit trust, privacy, factual error, bias, and staff overconfidence.</w:t>
      </w:r>
    </w:p>
    <w:p>
      <w:pPr>
        <w:pStyle w:val="PolicyList"/>
        <w:numPr>
          <w:ilvl w:val="0"/>
          <w:numId w:val="41"/>
        </w:numPr>
      </w:pPr>
      <w:hyperlink r:id="rId25">
        <w:r>
          <w:rPr>
            <w:color w:val="2E74B5"/>
            <w:u w:val="single"/>
          </w:rPr>
          <w:t>TechSoup guidance on generative AI use policies</w:t>
        </w:r>
      </w:hyperlink>
      <w:r>
        <w:rPr>
          <w:rFonts w:ascii="Calibri" w:hAnsi="Calibri"/>
          <w:color w:val="0B2545"/>
          <w:sz w:val="21"/>
        </w:rPr>
        <w:t>. Used for scope, permitted and prohibited use, data rules, human review, and policy alignment.</w:t>
      </w:r>
    </w:p>
    <w:p>
      <w:pPr>
        <w:pStyle w:val="PolicyCallout"/>
        <w:shd w:fill="F4F7FB"/>
        <w:pBdr>
          <w:left w:val="single" w:sz="18" w:space="8" w:color="2E74B5"/>
        </w:pBdr>
      </w:pPr>
      <w:r>
        <w:rPr>
          <w:rFonts w:ascii="Calibri" w:hAnsi="Calibri"/>
          <w:b/>
          <w:color w:val="1F4D78"/>
          <w:sz w:val="21"/>
        </w:rPr>
        <w:t xml:space="preserve">Publisher note: </w:t>
      </w:r>
      <w:r>
        <w:rPr>
          <w:rFonts w:ascii="Calibri" w:hAnsi="Calibri"/>
          <w:color w:val="0B2545"/>
          <w:sz w:val="21"/>
        </w:rPr>
        <w:t>Gratona publishes this template as a free, provider-neutral governance resource. It may be adapted for use with Gratona or any other system.</w:t>
      </w:r>
    </w:p>
    <w:sectPr w:rsidR="00FC693F" w:rsidRPr="0006063C" w:rsidSect="00034616">
      <w:headerReference w:type="default" r:id="rId13"/>
      <w:headerReference w:type="even" r:id="rId14"/>
      <w:headerReference w:type="first" r:id="rId15"/>
      <w:footerReference w:type="default" r:id="rId16"/>
      <w:footerReference w:type="even" r:id="rId17"/>
      <w:footerReference w:type="first" r:id="rId18"/>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C6670"/>
        <w:sz w:val="18"/>
      </w:rPr>
      <w:t xml:space="preserve">Page </w:t>
    </w:r>
    <w:r>
      <w:rPr>
        <w:rFonts w:ascii="Calibri" w:hAnsi="Calibri"/>
        <w:sz w:val="18"/>
        <w:color w:val="5C6670"/>
      </w:rPr>
      <w:fldChar w:fldCharType="begin"/>
      <w:instrText xml:space="preserve"> PAGE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C6670"/>
        <w:sz w:val="18"/>
      </w:rPr>
      <w:t xml:space="preserve">Page </w:t>
    </w:r>
    <w:r>
      <w:rPr>
        <w:rFonts w:ascii="Calibri" w:hAnsi="Calibri"/>
        <w:sz w:val="18"/>
        <w:color w:val="5C6670"/>
      </w:rPr>
      <w:fldChar w:fldCharType="begin"/>
      <w:instrText xml:space="preserve"> PAGE </w:instrText>
      <w:fldChar w:fldCharType="end"/>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C6670"/>
        <w:sz w:val="18"/>
      </w:rPr>
      <w:t xml:space="preserve">Page </w:t>
    </w:r>
    <w:r>
      <w:rPr>
        <w:rFonts w:ascii="Calibri" w:hAnsi="Calibri"/>
        <w:sz w:val="18"/>
        <w:color w:val="5C6670"/>
      </w:rPr>
      <w:fldChar w:fldCharType="begin"/>
      <w:instrText xml:space="preserve"> PAGE </w:instrText>
      <w:fldChar w:fldCharType="end"/>
    </w:r>
  </w:p>
</w:ftr>
</file>

<file path=word/footer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C6670"/>
        <w:sz w:val="18"/>
      </w:rPr>
      <w:t xml:space="preserve">Page </w:t>
    </w:r>
    <w:r>
      <w:rPr>
        <w:rFonts w:ascii="Calibri" w:hAnsi="Calibri"/>
        <w:sz w:val="18"/>
        <w:color w:val="5C6670"/>
      </w:rPr>
      <w:fldChar w:fldCharType="begin"/>
      <w:instrText xml:space="preserve"> PAGE </w:instrText>
      <w:fldChar w:fldCharType="end"/>
    </w:r>
  </w:p>
</w:ftr>
</file>

<file path=word/footer5.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C6670"/>
        <w:sz w:val="18"/>
      </w:rPr>
      <w:t xml:space="preserve">Page </w:t>
    </w:r>
    <w:r>
      <w:rPr>
        <w:rFonts w:ascii="Calibri" w:hAnsi="Calibri"/>
        <w:sz w:val="18"/>
        <w:color w:val="5C6670"/>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line="240" w:lineRule="auto"/>
      <w:jc w:val="left"/>
    </w:pPr>
    <w:r>
      <w:rPr>
        <w:rFonts w:ascii="Calibri" w:hAnsi="Calibri"/>
        <w:b/>
        <w:color w:val="5C6670"/>
        <w:sz w:val="17"/>
      </w:rPr>
      <w:t>NONPROFIT GOVERNANCE RESOURCE</w:t>
    </w:r>
    <w:r>
      <w:rPr>
        <w:rFonts w:ascii="Calibri" w:hAnsi="Calibri"/>
        <w:color w:val="5C6670"/>
        <w:sz w:val="17"/>
      </w:rPr>
      <w:t xml:space="preserve">  |  Published by Gratona</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line="240" w:lineRule="auto"/>
      <w:jc w:val="left"/>
    </w:pPr>
    <w:r>
      <w:rPr>
        <w:rFonts w:ascii="Calibri" w:hAnsi="Calibri"/>
        <w:b/>
        <w:color w:val="5C6670"/>
        <w:sz w:val="17"/>
      </w:rPr>
      <w:t>NONPROFIT GOVERNANCE RESOURCE</w:t>
    </w:r>
    <w:r>
      <w:rPr>
        <w:rFonts w:ascii="Calibri" w:hAnsi="Calibri"/>
        <w:color w:val="5C6670"/>
        <w:sz w:val="17"/>
      </w:rPr>
      <w:t xml:space="preserve">  |  Published by Gratona</w:t>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line="240" w:lineRule="auto"/>
      <w:jc w:val="left"/>
    </w:pPr>
    <w:r>
      <w:rPr>
        <w:rFonts w:ascii="Calibri" w:hAnsi="Calibri"/>
        <w:b/>
        <w:color w:val="5C6670"/>
        <w:sz w:val="17"/>
      </w:rPr>
      <w:t>NONPROFIT GOVERNANCE RESOURCE</w:t>
    </w:r>
    <w:r>
      <w:rPr>
        <w:rFonts w:ascii="Calibri" w:hAnsi="Calibri"/>
        <w:color w:val="5C6670"/>
        <w:sz w:val="17"/>
      </w:rPr>
      <w:t xml:space="preserve">  |  Published by Gratona</w:t>
    </w:r>
  </w:p>
</w:hdr>
</file>

<file path=word/header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line="240" w:lineRule="auto"/>
      <w:jc w:val="left"/>
    </w:pPr>
    <w:r>
      <w:rPr>
        <w:rFonts w:ascii="Calibri" w:hAnsi="Calibri"/>
        <w:b/>
        <w:color w:val="5C6670"/>
        <w:sz w:val="17"/>
      </w:rPr>
      <w:t>NONPROFIT GOVERNANCE RESOURCE</w:t>
    </w:r>
    <w:r>
      <w:rPr>
        <w:rFonts w:ascii="Calibri" w:hAnsi="Calibri"/>
        <w:color w:val="5C6670"/>
        <w:sz w:val="17"/>
      </w:rPr>
      <w:t xml:space="preserve">  |  Published by Gratona</w:t>
    </w:r>
  </w:p>
</w:hdr>
</file>

<file path=word/header5.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line="240" w:lineRule="auto"/>
      <w:jc w:val="left"/>
    </w:pPr>
    <w:r>
      <w:rPr>
        <w:rFonts w:ascii="Calibri" w:hAnsi="Calibri"/>
        <w:b/>
        <w:color w:val="5C6670"/>
        <w:sz w:val="17"/>
      </w:rPr>
      <w:t>NONPROFIT GOVERNANCE RESOURCE</w:t>
    </w:r>
    <w:r>
      <w:rPr>
        <w:rFonts w:ascii="Calibri" w:hAnsi="Calibri"/>
        <w:color w:val="5C6670"/>
        <w:sz w:val="17"/>
      </w:rPr>
      <w:t xml:space="preserve">  |  Published by Gratona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41">
    <w:multiLevelType w:val="singleLevel"/>
    <w:lvl w:ilvl="0">
      <w:start w:val="1"/>
      <w:numFmt w:val="bullet"/>
      <w:lvlText w:val="•"/>
      <w:lvlJc w:val="left"/>
      <w:pPr>
        <w:tabs>
          <w:tab w:val="num" w:pos="540"/>
        </w:tabs>
        <w:ind w:left="540" w:hanging="270"/>
        <w:spacing w:after="80" w:line="300" w:lineRule="auto"/>
      </w:pPr>
      <w:rPr>
        <w:rFonts w:ascii="Calibri" w:hAnsi="Calibri"/>
      </w:rPr>
    </w:lvl>
  </w:abstractNum>
  <w:num w:numId="41">
    <w:abstractNumId w:val="41"/>
  </w:num>
  <w:abstractNum w:abstractNumId="42">
    <w:multiLevelType w:val="singleLevel"/>
    <w:lvl w:ilvl="0">
      <w:start w:val="1"/>
      <w:numFmt w:val="decimal"/>
      <w:lvlText w:val="%1."/>
      <w:lvlJc w:val="left"/>
      <w:pPr>
        <w:tabs>
          <w:tab w:val="num" w:pos="540"/>
        </w:tabs>
        <w:ind w:left="540" w:hanging="270"/>
        <w:spacing w:after="80" w:line="300" w:lineRule="auto"/>
      </w:pPr>
      <w:rPr>
        <w:rFonts w:ascii="Calibri" w:hAnsi="Calibri"/>
      </w:rPr>
    </w:lvl>
  </w:abstractNum>
  <w:num w:numId="42">
    <w:abstractNumId w:val="42"/>
  </w:num>
  <w:abstractNum w:abstractNumId="43">
    <w:multiLevelType w:val="singleLevel"/>
    <w:lvl w:ilvl="0">
      <w:start w:val="1"/>
      <w:numFmt w:val="bullet"/>
      <w:lvlText w:val="□"/>
      <w:lvlJc w:val="left"/>
      <w:pPr>
        <w:tabs>
          <w:tab w:val="num" w:pos="540"/>
        </w:tabs>
        <w:ind w:left="540" w:hanging="270"/>
        <w:spacing w:after="80" w:line="300" w:lineRule="auto"/>
      </w:pPr>
      <w:rPr>
        <w:rFonts w:ascii="Arial Unicode MS" w:hAnsi="Arial Unicode MS"/>
      </w:rPr>
    </w:lvl>
  </w:abstractNum>
  <w:num w:numId="43">
    <w:abstractNumId w:val="43"/>
  </w:num>
  <w:abstractNum w:abstractNumId="44">
    <w:multiLevelType w:val="singleLevel"/>
    <w:lvl w:ilvl="0">
      <w:start w:val="1"/>
      <w:numFmt w:val="decimal"/>
      <w:lvlText w:val="%1."/>
      <w:lvlJc w:val="left"/>
      <w:pPr>
        <w:tabs>
          <w:tab w:val="num" w:pos="540"/>
        </w:tabs>
        <w:ind w:left="540" w:hanging="270"/>
        <w:spacing w:after="80" w:line="300" w:lineRule="auto"/>
      </w:pPr>
      <w:rPr>
        <w:rFonts w:ascii="Calibri" w:hAnsi="Calibri"/>
      </w:rPr>
    </w:lvl>
  </w:abstractNum>
  <w:num w:numId="44">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0B2545"/>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0B2545"/>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360" w:line="264" w:lineRule="auto"/>
    </w:pPr>
    <w:rPr>
      <w:rFonts w:asciiTheme="majorHAnsi" w:eastAsiaTheme="majorEastAsia" w:hAnsiTheme="majorHAnsi" w:cstheme="majorBidi" w:ascii="Calibri" w:hAnsi="Calibri"/>
      <w:i/>
      <w:iCs/>
      <w:color w:val="1F4D78"/>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olicyList">
    <w:name w:val="Policy List"/>
    <w:basedOn w:val="Normal"/>
    <w:pPr>
      <w:keepLines/>
      <w:widowControl/>
      <w:spacing w:before="0" w:after="80" w:line="300" w:lineRule="auto"/>
      <w:ind w:left="540" w:hanging="270"/>
    </w:pPr>
    <w:rPr>
      <w:rFonts w:ascii="Calibri" w:hAnsi="Calibri"/>
      <w:sz w:val="22"/>
    </w:rPr>
  </w:style>
  <w:style w:type="paragraph" w:customStyle="1" w:styleId="PolicyCallout">
    <w:name w:val="Policy Callout"/>
    <w:basedOn w:val="Normal"/>
    <w:pPr>
      <w:spacing w:before="160" w:after="200" w:line="288" w:lineRule="auto"/>
      <w:ind w:left="202" w:right="115"/>
    </w:pPr>
  </w:style>
  <w:style w:type="paragraph" w:customStyle="1" w:styleId="SourceNote">
    <w:name w:val="Source Note"/>
    <w:basedOn w:val="Normal"/>
    <w:pPr>
      <w:spacing w:before="80" w:after="80" w:line="276" w:lineRule="auto"/>
    </w:pPr>
    <w:rPr>
      <w:rFonts w:ascii="Calibri" w:hAnsi="Calibri"/>
      <w:color w:val="5C6670"/>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footer" Target="footer3.xml"/><Relationship Id="rId17" Type="http://schemas.openxmlformats.org/officeDocument/2006/relationships/footer" Target="footer4.xml"/><Relationship Id="rId18" Type="http://schemas.openxmlformats.org/officeDocument/2006/relationships/footer" Target="footer5.xml"/><Relationship Id="rId19" Type="http://schemas.openxmlformats.org/officeDocument/2006/relationships/hyperlink" Target="https://www.nist.gov/itl/ai-risk-management-framework" TargetMode="External"/><Relationship Id="rId20" Type="http://schemas.openxmlformats.org/officeDocument/2006/relationships/hyperlink" Target="https://nvlpubs.nist.gov/nistpubs/ai/NIST.AI.600-1.pdf" TargetMode="External"/><Relationship Id="rId21" Type="http://schemas.openxmlformats.org/officeDocument/2006/relationships/hyperlink" Target="https://word.nten.org/wp-content/uploads/2024/08/AI-Policy-Template-by-ANB-Advisory.pdf" TargetMode="External"/><Relationship Id="rId22" Type="http://schemas.openxmlformats.org/officeDocument/2006/relationships/hyperlink" Target="https://fundraising.ai/framework/" TargetMode="External"/><Relationship Id="rId23" Type="http://schemas.openxmlformats.org/officeDocument/2006/relationships/hyperlink" Target="https://www.globalgiving.org/learn/nonprofit-responsible-ai-use-policies" TargetMode="External"/><Relationship Id="rId24" Type="http://schemas.openxmlformats.org/officeDocument/2006/relationships/hyperlink" Target="https://candid.org/blogs/how-to-create-responsible-ai-use-policy-for-nonprofits/" TargetMode="External"/><Relationship Id="rId25" Type="http://schemas.openxmlformats.org/officeDocument/2006/relationships/hyperlink" Target="https://blog.techsoup.org/en-ca/posts/how-to-create-a-generative-ai-use-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Nonprofit AI Policy Template</dc:title>
  <dc:subject>Editable, provider-neutral AI governance policy template for nonprofit organizations</dc:subject>
  <dc:creator>Gratona</dc:creator>
  <cp:keywords>nonprofit AI policy, responsible AI, fundraising AI, human review, data governance</cp:keywords>
  <dc:description>Published by Gratona</dc:description>
  <cp:lastModifiedBy>Gratona</cp:lastModifiedBy>
  <cp:revision>1</cp:revision>
  <dcterms:created xsi:type="dcterms:W3CDTF">2013-12-23T23:15:00Z</dcterms:created>
  <dcterms:modified xsi:type="dcterms:W3CDTF">2013-12-23T23:15:00Z</dcterms:modified>
  <cp:category>Nonprofit governance template</cp:category>
</cp:coreProperties>
</file>